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C72E2" w14:textId="77777777" w:rsidR="009D26B2" w:rsidRDefault="009D26B2" w:rsidP="0072747C">
      <w:pPr>
        <w:spacing w:after="135" w:line="360" w:lineRule="atLeast"/>
        <w:jc w:val="both"/>
        <w:rPr>
          <w:rFonts w:ascii="Arial" w:eastAsia="Times New Roman" w:hAnsi="Arial" w:cs="Arial"/>
          <w:b/>
          <w:color w:val="333333"/>
          <w:u w:val="single"/>
          <w:lang w:val="en" w:eastAsia="en-GB"/>
        </w:rPr>
      </w:pPr>
    </w:p>
    <w:p w14:paraId="77403438" w14:textId="77777777" w:rsidR="00C14D00" w:rsidRDefault="00C14D00" w:rsidP="0072747C">
      <w:pPr>
        <w:spacing w:after="135" w:line="360" w:lineRule="atLeast"/>
        <w:jc w:val="both"/>
        <w:rPr>
          <w:rFonts w:ascii="Arial" w:eastAsia="Times New Roman" w:hAnsi="Arial" w:cs="Arial"/>
          <w:b/>
          <w:color w:val="333333"/>
          <w:u w:val="single"/>
          <w:lang w:val="en" w:eastAsia="en-GB"/>
        </w:rPr>
      </w:pPr>
      <w:r w:rsidRPr="00552791">
        <w:rPr>
          <w:rFonts w:ascii="Arial" w:eastAsia="Times New Roman" w:hAnsi="Arial" w:cs="Arial"/>
          <w:b/>
          <w:color w:val="333333"/>
          <w:u w:val="single"/>
          <w:lang w:val="en" w:eastAsia="en-GB"/>
        </w:rPr>
        <w:t>Gender Pay Gap Statement for BCU Website</w:t>
      </w:r>
    </w:p>
    <w:p w14:paraId="75204CAA" w14:textId="35866AD5" w:rsidR="0060635E" w:rsidRPr="00552791" w:rsidRDefault="0060635E" w:rsidP="0072747C">
      <w:pPr>
        <w:spacing w:after="135" w:line="360" w:lineRule="atLeast"/>
        <w:jc w:val="both"/>
        <w:rPr>
          <w:rFonts w:ascii="Arial" w:eastAsia="Times New Roman" w:hAnsi="Arial" w:cs="Arial"/>
          <w:color w:val="333333"/>
          <w:lang w:val="en" w:eastAsia="en-GB"/>
        </w:rPr>
      </w:pPr>
      <w:r w:rsidRPr="00552791">
        <w:rPr>
          <w:rFonts w:ascii="Arial" w:eastAsia="Times New Roman" w:hAnsi="Arial" w:cs="Arial"/>
          <w:color w:val="333333"/>
          <w:lang w:val="en" w:eastAsia="en-GB"/>
        </w:rPr>
        <w:t>Gender pay gap reporting is a</w:t>
      </w:r>
      <w:r w:rsidR="00674977">
        <w:rPr>
          <w:rFonts w:ascii="Arial" w:eastAsia="Times New Roman" w:hAnsi="Arial" w:cs="Arial"/>
          <w:color w:val="333333"/>
          <w:lang w:val="en" w:eastAsia="en-GB"/>
        </w:rPr>
        <w:t>n</w:t>
      </w:r>
      <w:r w:rsidRPr="00552791">
        <w:rPr>
          <w:rFonts w:ascii="Arial" w:eastAsia="Times New Roman" w:hAnsi="Arial" w:cs="Arial"/>
          <w:color w:val="333333"/>
          <w:lang w:val="en" w:eastAsia="en-GB"/>
        </w:rPr>
        <w:t xml:space="preserve"> annual statutory requirement for all UK employers who have more than 250 employees.</w:t>
      </w:r>
      <w:r w:rsidR="001B5B24" w:rsidRPr="00552791">
        <w:rPr>
          <w:rFonts w:ascii="Arial" w:eastAsia="Times New Roman" w:hAnsi="Arial" w:cs="Arial"/>
          <w:color w:val="333333"/>
          <w:lang w:val="en" w:eastAsia="en-GB"/>
        </w:rPr>
        <w:t xml:space="preserve"> This statement provides a snapshot (u</w:t>
      </w:r>
      <w:r w:rsidR="00AC7387">
        <w:rPr>
          <w:rFonts w:ascii="Arial" w:eastAsia="Times New Roman" w:hAnsi="Arial" w:cs="Arial"/>
          <w:color w:val="333333"/>
          <w:lang w:val="en" w:eastAsia="en-GB"/>
        </w:rPr>
        <w:t>sing the relevant data from 2019</w:t>
      </w:r>
      <w:r w:rsidR="001B5B24" w:rsidRPr="00552791">
        <w:rPr>
          <w:rFonts w:ascii="Arial" w:eastAsia="Times New Roman" w:hAnsi="Arial" w:cs="Arial"/>
          <w:color w:val="333333"/>
          <w:lang w:val="en" w:eastAsia="en-GB"/>
        </w:rPr>
        <w:t>) of the gender pay balance at Birmingham City University.</w:t>
      </w:r>
    </w:p>
    <w:p w14:paraId="732A0D91" w14:textId="4BB81D08" w:rsidR="0060635E" w:rsidRDefault="003F51CD" w:rsidP="0014147E">
      <w:pPr>
        <w:spacing w:after="135" w:line="360" w:lineRule="atLeast"/>
        <w:jc w:val="both"/>
        <w:rPr>
          <w:rFonts w:ascii="Arial" w:eastAsia="Times New Roman" w:hAnsi="Arial" w:cs="Arial"/>
          <w:color w:val="333333"/>
          <w:lang w:val="en" w:eastAsia="en-GB"/>
        </w:rPr>
      </w:pPr>
      <w:r>
        <w:rPr>
          <w:rFonts w:ascii="Arial" w:eastAsia="Times New Roman" w:hAnsi="Arial" w:cs="Arial"/>
          <w:color w:val="333333"/>
          <w:lang w:val="en" w:eastAsia="en-GB"/>
        </w:rPr>
        <w:t xml:space="preserve">We are fortunate that as the </w:t>
      </w:r>
      <w:r w:rsidR="00873D5C">
        <w:rPr>
          <w:rFonts w:ascii="Arial" w:eastAsia="Times New Roman" w:hAnsi="Arial" w:cs="Arial"/>
          <w:color w:val="333333"/>
          <w:lang w:val="en" w:eastAsia="en-GB"/>
        </w:rPr>
        <w:t>University</w:t>
      </w:r>
      <w:r w:rsidR="0072747C">
        <w:rPr>
          <w:rFonts w:ascii="Arial" w:eastAsia="Times New Roman" w:hAnsi="Arial" w:cs="Arial"/>
          <w:color w:val="333333"/>
          <w:lang w:val="en" w:eastAsia="en-GB"/>
        </w:rPr>
        <w:t xml:space="preserve"> for Birmingham, we are placed at the heart of a multi-cultural city. We recognise that our pol</w:t>
      </w:r>
      <w:r w:rsidR="009D26B2">
        <w:rPr>
          <w:rFonts w:ascii="Arial" w:eastAsia="Times New Roman" w:hAnsi="Arial" w:cs="Arial"/>
          <w:color w:val="333333"/>
          <w:lang w:val="en" w:eastAsia="en-GB"/>
        </w:rPr>
        <w:t>icies alone are not enough to enable</w:t>
      </w:r>
      <w:r w:rsidR="0072747C">
        <w:rPr>
          <w:rFonts w:ascii="Arial" w:eastAsia="Times New Roman" w:hAnsi="Arial" w:cs="Arial"/>
          <w:color w:val="333333"/>
          <w:lang w:val="en" w:eastAsia="en-GB"/>
        </w:rPr>
        <w:t xml:space="preserve"> an inclusive workplace and we need to continue to </w:t>
      </w:r>
      <w:r w:rsidR="00674977">
        <w:rPr>
          <w:rFonts w:ascii="Arial" w:eastAsia="Times New Roman" w:hAnsi="Arial" w:cs="Arial"/>
          <w:color w:val="333333"/>
          <w:lang w:val="en" w:eastAsia="en-GB"/>
        </w:rPr>
        <w:t xml:space="preserve">eliminate </w:t>
      </w:r>
      <w:r w:rsidR="0072747C">
        <w:rPr>
          <w:rFonts w:ascii="Arial" w:eastAsia="Times New Roman" w:hAnsi="Arial" w:cs="Arial"/>
          <w:color w:val="333333"/>
          <w:lang w:val="en" w:eastAsia="en-GB"/>
        </w:rPr>
        <w:t xml:space="preserve">workplace barriers for all of our employees. </w:t>
      </w:r>
      <w:r w:rsidR="00753D23">
        <w:rPr>
          <w:rFonts w:ascii="Arial" w:eastAsia="Times New Roman" w:hAnsi="Arial" w:cs="Arial"/>
          <w:color w:val="333333"/>
          <w:lang w:val="en" w:eastAsia="en-GB"/>
        </w:rPr>
        <w:t xml:space="preserve">We have strengthened our Equality, Diversity and Inclusion (EDI) team this year, including the appointment of a Project Manager post to support us in achieving recognition in the Stonewall Workplace Index. Our </w:t>
      </w:r>
      <w:r w:rsidR="00ED65D4">
        <w:rPr>
          <w:rFonts w:ascii="Arial" w:eastAsia="Times New Roman" w:hAnsi="Arial" w:cs="Arial"/>
          <w:color w:val="333333"/>
          <w:lang w:val="en" w:eastAsia="en-GB"/>
        </w:rPr>
        <w:t>ambition</w:t>
      </w:r>
      <w:r w:rsidR="0014147E" w:rsidRPr="0014147E">
        <w:rPr>
          <w:rFonts w:ascii="Arial" w:eastAsia="Times New Roman" w:hAnsi="Arial" w:cs="Arial"/>
          <w:color w:val="333333"/>
          <w:lang w:val="en" w:eastAsia="en-GB"/>
        </w:rPr>
        <w:t xml:space="preserve"> </w:t>
      </w:r>
      <w:r w:rsidR="00ED65D4">
        <w:rPr>
          <w:rFonts w:ascii="Arial" w:eastAsia="Times New Roman" w:hAnsi="Arial" w:cs="Arial"/>
          <w:color w:val="333333"/>
          <w:lang w:val="en" w:eastAsia="en-GB"/>
        </w:rPr>
        <w:t>is to make BCU</w:t>
      </w:r>
      <w:r w:rsidR="0014147E">
        <w:rPr>
          <w:rFonts w:ascii="Arial" w:eastAsia="Times New Roman" w:hAnsi="Arial" w:cs="Arial"/>
          <w:color w:val="333333"/>
          <w:lang w:val="en" w:eastAsia="en-GB"/>
        </w:rPr>
        <w:t xml:space="preserve"> </w:t>
      </w:r>
      <w:r w:rsidR="0014147E" w:rsidRPr="0014147E">
        <w:rPr>
          <w:rFonts w:ascii="Arial" w:eastAsia="Times New Roman" w:hAnsi="Arial" w:cs="Arial"/>
          <w:color w:val="333333"/>
          <w:lang w:val="en" w:eastAsia="en-GB"/>
        </w:rPr>
        <w:t xml:space="preserve">an exemplar in EDI by going beyond what is required by </w:t>
      </w:r>
      <w:r w:rsidR="0014147E">
        <w:rPr>
          <w:rFonts w:ascii="Arial" w:eastAsia="Times New Roman" w:hAnsi="Arial" w:cs="Arial"/>
          <w:color w:val="333333"/>
          <w:lang w:val="en" w:eastAsia="en-GB"/>
        </w:rPr>
        <w:t xml:space="preserve">current </w:t>
      </w:r>
      <w:r w:rsidR="0014147E" w:rsidRPr="0014147E">
        <w:rPr>
          <w:rFonts w:ascii="Arial" w:eastAsia="Times New Roman" w:hAnsi="Arial" w:cs="Arial"/>
          <w:color w:val="333333"/>
          <w:lang w:val="en" w:eastAsia="en-GB"/>
        </w:rPr>
        <w:t>equalities legislation.</w:t>
      </w:r>
    </w:p>
    <w:p w14:paraId="2F575E9A" w14:textId="080E6231" w:rsidR="0014147E" w:rsidRPr="0014147E" w:rsidRDefault="0014147E" w:rsidP="0014147E">
      <w:pPr>
        <w:spacing w:after="135" w:line="360" w:lineRule="atLeast"/>
        <w:jc w:val="both"/>
        <w:rPr>
          <w:rFonts w:ascii="Arial" w:eastAsia="Times New Roman" w:hAnsi="Arial" w:cs="Arial"/>
          <w:color w:val="333333"/>
          <w:lang w:val="en" w:eastAsia="en-GB"/>
        </w:rPr>
      </w:pPr>
      <w:r>
        <w:rPr>
          <w:rFonts w:ascii="Arial" w:eastAsia="Times New Roman" w:hAnsi="Arial" w:cs="Arial"/>
          <w:color w:val="333333"/>
          <w:lang w:val="en" w:eastAsia="en-GB"/>
        </w:rPr>
        <w:t>We work hard each day to live our core values of excellence, people focused, partnership working and fairness and integrity</w:t>
      </w:r>
      <w:r w:rsidR="003F51CD">
        <w:rPr>
          <w:rFonts w:ascii="Arial" w:eastAsia="Times New Roman" w:hAnsi="Arial" w:cs="Arial"/>
          <w:color w:val="333333"/>
          <w:lang w:val="en" w:eastAsia="en-GB"/>
        </w:rPr>
        <w:t>.  A</w:t>
      </w:r>
      <w:r>
        <w:rPr>
          <w:rFonts w:ascii="Arial" w:eastAsia="Times New Roman" w:hAnsi="Arial" w:cs="Arial"/>
          <w:color w:val="333333"/>
          <w:lang w:val="en" w:eastAsia="en-GB"/>
        </w:rPr>
        <w:t xml:space="preserve">t the heart of our values is the understanding that everyone has the right to an equal opportunity to thrive during their </w:t>
      </w:r>
      <w:r w:rsidR="00ED65D4">
        <w:rPr>
          <w:rFonts w:ascii="Arial" w:eastAsia="Times New Roman" w:hAnsi="Arial" w:cs="Arial"/>
          <w:color w:val="333333"/>
          <w:lang w:val="en" w:eastAsia="en-GB"/>
        </w:rPr>
        <w:t>employment</w:t>
      </w:r>
      <w:r>
        <w:rPr>
          <w:rFonts w:ascii="Arial" w:eastAsia="Times New Roman" w:hAnsi="Arial" w:cs="Arial"/>
          <w:color w:val="333333"/>
          <w:lang w:val="en" w:eastAsia="en-GB"/>
        </w:rPr>
        <w:t xml:space="preserve"> with us and that we all </w:t>
      </w:r>
      <w:r w:rsidR="00ED65D4">
        <w:rPr>
          <w:rFonts w:ascii="Arial" w:eastAsia="Times New Roman" w:hAnsi="Arial" w:cs="Arial"/>
          <w:color w:val="333333"/>
          <w:lang w:val="en" w:eastAsia="en-GB"/>
        </w:rPr>
        <w:t>benefit</w:t>
      </w:r>
      <w:r>
        <w:rPr>
          <w:rFonts w:ascii="Arial" w:eastAsia="Times New Roman" w:hAnsi="Arial" w:cs="Arial"/>
          <w:color w:val="333333"/>
          <w:lang w:val="en" w:eastAsia="en-GB"/>
        </w:rPr>
        <w:t xml:space="preserve"> when that equality of opportunity </w:t>
      </w:r>
      <w:r w:rsidR="00ED65D4">
        <w:rPr>
          <w:rFonts w:ascii="Arial" w:eastAsia="Times New Roman" w:hAnsi="Arial" w:cs="Arial"/>
          <w:color w:val="333333"/>
          <w:lang w:val="en" w:eastAsia="en-GB"/>
        </w:rPr>
        <w:t>exists</w:t>
      </w:r>
      <w:r>
        <w:rPr>
          <w:rFonts w:ascii="Arial" w:eastAsia="Times New Roman" w:hAnsi="Arial" w:cs="Arial"/>
          <w:color w:val="333333"/>
          <w:lang w:val="en" w:eastAsia="en-GB"/>
        </w:rPr>
        <w:t xml:space="preserve">. </w:t>
      </w:r>
    </w:p>
    <w:p w14:paraId="45D4F537" w14:textId="77777777" w:rsidR="0060635E" w:rsidRPr="00552791" w:rsidRDefault="001B5B24" w:rsidP="0072747C">
      <w:pPr>
        <w:spacing w:after="135" w:line="360" w:lineRule="atLeast"/>
        <w:jc w:val="both"/>
        <w:rPr>
          <w:rFonts w:ascii="Arial" w:eastAsia="Times New Roman" w:hAnsi="Arial" w:cs="Arial"/>
          <w:b/>
          <w:color w:val="333333"/>
          <w:u w:val="single"/>
          <w:lang w:val="en" w:eastAsia="en-GB"/>
        </w:rPr>
      </w:pPr>
      <w:r w:rsidRPr="00552791">
        <w:rPr>
          <w:rFonts w:ascii="Arial" w:eastAsia="Times New Roman" w:hAnsi="Arial" w:cs="Arial"/>
          <w:b/>
          <w:color w:val="333333"/>
          <w:u w:val="single"/>
          <w:lang w:val="en" w:eastAsia="en-GB"/>
        </w:rPr>
        <w:t>What is the gender pay gap?</w:t>
      </w:r>
    </w:p>
    <w:p w14:paraId="15D00C76" w14:textId="77777777" w:rsidR="001B5B24" w:rsidRPr="00552791" w:rsidRDefault="001B5B24" w:rsidP="0072747C">
      <w:pPr>
        <w:spacing w:after="135" w:line="360" w:lineRule="atLeast"/>
        <w:jc w:val="both"/>
        <w:rPr>
          <w:rFonts w:ascii="Arial" w:hAnsi="Arial" w:cs="Arial"/>
        </w:rPr>
      </w:pPr>
      <w:r w:rsidRPr="00552791">
        <w:rPr>
          <w:rFonts w:ascii="Arial" w:hAnsi="Arial" w:cs="Arial"/>
        </w:rPr>
        <w:t xml:space="preserve">The gender pay gap shows the difference between the average earnings of all men and women in the university regardless of their role or grade. </w:t>
      </w:r>
    </w:p>
    <w:p w14:paraId="697AB74C" w14:textId="433496D4" w:rsidR="001B5B24" w:rsidRPr="00552791" w:rsidRDefault="001B5B24" w:rsidP="0072747C">
      <w:pPr>
        <w:spacing w:after="135" w:line="360" w:lineRule="atLeast"/>
        <w:jc w:val="both"/>
        <w:rPr>
          <w:rFonts w:ascii="Arial" w:hAnsi="Arial" w:cs="Arial"/>
        </w:rPr>
      </w:pPr>
      <w:r w:rsidRPr="00552791">
        <w:rPr>
          <w:rFonts w:ascii="Arial" w:hAnsi="Arial" w:cs="Arial"/>
        </w:rPr>
        <w:t>The gender pay gap</w:t>
      </w:r>
      <w:r w:rsidR="003F51CD">
        <w:rPr>
          <w:rFonts w:ascii="Arial" w:hAnsi="Arial" w:cs="Arial"/>
        </w:rPr>
        <w:t xml:space="preserve"> differs from Equal Pay. Equal P</w:t>
      </w:r>
      <w:r w:rsidRPr="00552791">
        <w:rPr>
          <w:rFonts w:ascii="Arial" w:hAnsi="Arial" w:cs="Arial"/>
        </w:rPr>
        <w:t xml:space="preserve">ay looks at any pay differences between men and women who carry out the same jobs or work of equal value. At the University we have been carrying out Equal Pay reviews for a number of years and we are confident that men and women carrying out similar or the same work are paid equally. </w:t>
      </w:r>
    </w:p>
    <w:p w14:paraId="23D6D3CD" w14:textId="77777777" w:rsidR="00ED65D4" w:rsidRPr="00552791" w:rsidRDefault="001B5B24" w:rsidP="0072747C">
      <w:pPr>
        <w:spacing w:after="135" w:line="360" w:lineRule="atLeast"/>
        <w:jc w:val="both"/>
        <w:rPr>
          <w:rFonts w:ascii="Arial" w:hAnsi="Arial" w:cs="Arial"/>
        </w:rPr>
      </w:pPr>
      <w:r w:rsidRPr="00552791">
        <w:rPr>
          <w:rFonts w:ascii="Arial" w:hAnsi="Arial" w:cs="Arial"/>
        </w:rPr>
        <w:t>The gender pay gap does not mean that there is an inequity in pay nor that the university’s pay systems and policies are discriminatory. The gap does reflect the current distribution of men and women across the various pay grades and the fact that there is currently an uneven distribution. We recognise that we have work to do in this respect.</w:t>
      </w:r>
    </w:p>
    <w:p w14:paraId="16CA4043" w14:textId="0C0849CA" w:rsidR="001B5B24" w:rsidRPr="00552791" w:rsidRDefault="001B5B24" w:rsidP="0072747C">
      <w:pPr>
        <w:spacing w:after="135" w:line="360" w:lineRule="atLeast"/>
        <w:jc w:val="both"/>
        <w:rPr>
          <w:rFonts w:ascii="Arial" w:hAnsi="Arial" w:cs="Arial"/>
          <w:b/>
        </w:rPr>
      </w:pPr>
      <w:r w:rsidRPr="00552791">
        <w:rPr>
          <w:rFonts w:ascii="Arial" w:hAnsi="Arial" w:cs="Arial"/>
          <w:b/>
        </w:rPr>
        <w:t>Birmingham City University gender pay gap</w:t>
      </w:r>
      <w:r w:rsidR="00873D5C">
        <w:rPr>
          <w:rFonts w:ascii="Arial" w:hAnsi="Arial" w:cs="Arial"/>
          <w:b/>
        </w:rPr>
        <w:t xml:space="preserve"> – data report 31/3/2020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04"/>
      </w:tblGrid>
      <w:tr w:rsidR="001B5B24" w:rsidRPr="00552791" w14:paraId="05909053" w14:textId="77777777" w:rsidTr="001B5B24">
        <w:tc>
          <w:tcPr>
            <w:tcW w:w="4512" w:type="dxa"/>
            <w:shd w:val="clear" w:color="auto" w:fill="auto"/>
          </w:tcPr>
          <w:p w14:paraId="681007DB" w14:textId="77777777" w:rsidR="001B5B24" w:rsidRPr="00552791" w:rsidRDefault="001B5B24" w:rsidP="0072747C">
            <w:pPr>
              <w:spacing w:before="240" w:after="100" w:afterAutospacing="1"/>
              <w:jc w:val="both"/>
              <w:rPr>
                <w:rFonts w:ascii="Arial" w:eastAsia="Calibri" w:hAnsi="Arial" w:cs="Arial"/>
                <w:b/>
              </w:rPr>
            </w:pPr>
            <w:r w:rsidRPr="00552791">
              <w:rPr>
                <w:rFonts w:ascii="Arial" w:eastAsia="Calibri" w:hAnsi="Arial" w:cs="Arial"/>
                <w:b/>
              </w:rPr>
              <w:t>Calculation</w:t>
            </w:r>
          </w:p>
        </w:tc>
        <w:tc>
          <w:tcPr>
            <w:tcW w:w="4504" w:type="dxa"/>
            <w:shd w:val="clear" w:color="auto" w:fill="auto"/>
          </w:tcPr>
          <w:p w14:paraId="4A0A3B45" w14:textId="77777777" w:rsidR="001B5B24" w:rsidRPr="00552791" w:rsidRDefault="001B5B24" w:rsidP="0072747C">
            <w:pPr>
              <w:spacing w:before="240" w:after="100" w:afterAutospacing="1"/>
              <w:jc w:val="both"/>
              <w:rPr>
                <w:rFonts w:ascii="Arial" w:eastAsia="Calibri" w:hAnsi="Arial" w:cs="Arial"/>
                <w:b/>
              </w:rPr>
            </w:pPr>
            <w:r w:rsidRPr="00552791">
              <w:rPr>
                <w:rFonts w:ascii="Arial" w:eastAsia="Calibri" w:hAnsi="Arial" w:cs="Arial"/>
                <w:b/>
              </w:rPr>
              <w:t>BCU  Position</w:t>
            </w:r>
          </w:p>
        </w:tc>
      </w:tr>
      <w:tr w:rsidR="001B5B24" w:rsidRPr="00552791" w14:paraId="6D2470F4" w14:textId="77777777" w:rsidTr="001B5B24">
        <w:tc>
          <w:tcPr>
            <w:tcW w:w="4512" w:type="dxa"/>
            <w:shd w:val="clear" w:color="auto" w:fill="auto"/>
          </w:tcPr>
          <w:p w14:paraId="15FD73DB" w14:textId="77777777" w:rsidR="001B5B24" w:rsidRPr="00552791" w:rsidRDefault="001B5B24" w:rsidP="0072747C">
            <w:pPr>
              <w:spacing w:before="240" w:after="100" w:afterAutospacing="1"/>
              <w:jc w:val="both"/>
              <w:rPr>
                <w:rFonts w:ascii="Arial" w:eastAsia="Calibri" w:hAnsi="Arial" w:cs="Arial"/>
              </w:rPr>
            </w:pPr>
            <w:r w:rsidRPr="00552791">
              <w:rPr>
                <w:rFonts w:ascii="Arial" w:eastAsia="Calibri" w:hAnsi="Arial" w:cs="Arial"/>
              </w:rPr>
              <w:t>Mean Gender Pay Gap</w:t>
            </w:r>
          </w:p>
        </w:tc>
        <w:tc>
          <w:tcPr>
            <w:tcW w:w="4504" w:type="dxa"/>
            <w:shd w:val="clear" w:color="auto" w:fill="auto"/>
          </w:tcPr>
          <w:p w14:paraId="375258C6" w14:textId="77777777" w:rsidR="001B5B24" w:rsidRPr="00552791" w:rsidRDefault="00A54CE6" w:rsidP="0072747C">
            <w:pPr>
              <w:spacing w:before="240" w:after="100" w:afterAutospacing="1"/>
              <w:jc w:val="both"/>
              <w:rPr>
                <w:rFonts w:ascii="Arial" w:eastAsia="Calibri" w:hAnsi="Arial" w:cs="Arial"/>
              </w:rPr>
            </w:pPr>
            <w:r>
              <w:rPr>
                <w:rFonts w:ascii="Arial" w:eastAsia="Calibri" w:hAnsi="Arial" w:cs="Arial"/>
              </w:rPr>
              <w:t>9.</w:t>
            </w:r>
            <w:r w:rsidR="001B5B24" w:rsidRPr="00552791">
              <w:rPr>
                <w:rFonts w:ascii="Arial" w:eastAsia="Calibri" w:hAnsi="Arial" w:cs="Arial"/>
              </w:rPr>
              <w:t>6% lower for women</w:t>
            </w:r>
          </w:p>
        </w:tc>
      </w:tr>
      <w:tr w:rsidR="001B5B24" w:rsidRPr="00552791" w14:paraId="2B8DE5A6" w14:textId="77777777" w:rsidTr="001B5B24">
        <w:tc>
          <w:tcPr>
            <w:tcW w:w="4512" w:type="dxa"/>
            <w:shd w:val="clear" w:color="auto" w:fill="auto"/>
          </w:tcPr>
          <w:p w14:paraId="2A0E365B" w14:textId="77777777" w:rsidR="001B5B24" w:rsidRPr="00552791" w:rsidRDefault="001B5B24" w:rsidP="0072747C">
            <w:pPr>
              <w:spacing w:before="240" w:after="100" w:afterAutospacing="1"/>
              <w:jc w:val="both"/>
              <w:rPr>
                <w:rFonts w:ascii="Arial" w:eastAsia="Calibri" w:hAnsi="Arial" w:cs="Arial"/>
              </w:rPr>
            </w:pPr>
            <w:r w:rsidRPr="00552791">
              <w:rPr>
                <w:rFonts w:ascii="Arial" w:eastAsia="Calibri" w:hAnsi="Arial" w:cs="Arial"/>
              </w:rPr>
              <w:t>Median Gender Pay</w:t>
            </w:r>
          </w:p>
        </w:tc>
        <w:tc>
          <w:tcPr>
            <w:tcW w:w="4504" w:type="dxa"/>
            <w:shd w:val="clear" w:color="auto" w:fill="auto"/>
          </w:tcPr>
          <w:p w14:paraId="7E480251" w14:textId="1D26C424" w:rsidR="001B5B24" w:rsidRPr="00552791" w:rsidRDefault="00873D5C" w:rsidP="0072747C">
            <w:pPr>
              <w:spacing w:before="240" w:after="100" w:afterAutospacing="1"/>
              <w:jc w:val="both"/>
              <w:rPr>
                <w:rFonts w:ascii="Arial" w:eastAsia="Calibri" w:hAnsi="Arial" w:cs="Arial"/>
              </w:rPr>
            </w:pPr>
            <w:r>
              <w:rPr>
                <w:rFonts w:ascii="Arial" w:eastAsia="Calibri" w:hAnsi="Arial" w:cs="Arial"/>
              </w:rPr>
              <w:t>8.0</w:t>
            </w:r>
            <w:r w:rsidR="001B5B24" w:rsidRPr="00552791">
              <w:rPr>
                <w:rFonts w:ascii="Arial" w:eastAsia="Calibri" w:hAnsi="Arial" w:cs="Arial"/>
              </w:rPr>
              <w:t>% lower for women</w:t>
            </w:r>
          </w:p>
        </w:tc>
      </w:tr>
    </w:tbl>
    <w:p w14:paraId="762055FD" w14:textId="747C6C7C" w:rsidR="00761F52" w:rsidRDefault="00761F52" w:rsidP="0072747C">
      <w:pPr>
        <w:spacing w:after="135" w:line="360" w:lineRule="atLeast"/>
        <w:jc w:val="both"/>
        <w:rPr>
          <w:rFonts w:ascii="Arial" w:hAnsi="Arial" w:cs="Arial"/>
        </w:rPr>
      </w:pPr>
    </w:p>
    <w:p w14:paraId="7DAFCD78" w14:textId="7B4B6C3E" w:rsidR="001B5B24" w:rsidRPr="00552791" w:rsidRDefault="001B5B24" w:rsidP="0072747C">
      <w:pPr>
        <w:spacing w:after="135" w:line="360" w:lineRule="atLeast"/>
        <w:jc w:val="both"/>
        <w:rPr>
          <w:rFonts w:ascii="Arial" w:hAnsi="Arial" w:cs="Arial"/>
        </w:rPr>
      </w:pPr>
      <w:r w:rsidRPr="00552791">
        <w:rPr>
          <w:rFonts w:ascii="Arial" w:hAnsi="Arial" w:cs="Arial"/>
        </w:rPr>
        <w:t>Proportion of males and females in each quartile band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889"/>
        <w:gridCol w:w="1097"/>
      </w:tblGrid>
      <w:tr w:rsidR="001B5B24" w:rsidRPr="00552791" w14:paraId="0F6ED8B8" w14:textId="77777777" w:rsidTr="00873D5C">
        <w:tc>
          <w:tcPr>
            <w:tcW w:w="3008" w:type="dxa"/>
            <w:shd w:val="clear" w:color="auto" w:fill="auto"/>
          </w:tcPr>
          <w:p w14:paraId="5C6A6F53" w14:textId="77777777" w:rsidR="001B5B24" w:rsidRPr="00552791" w:rsidRDefault="001B5B24" w:rsidP="0072747C">
            <w:pPr>
              <w:spacing w:before="240" w:after="100" w:afterAutospacing="1"/>
              <w:jc w:val="both"/>
              <w:rPr>
                <w:rFonts w:ascii="Arial" w:eastAsia="Calibri" w:hAnsi="Arial" w:cs="Arial"/>
                <w:b/>
              </w:rPr>
            </w:pPr>
            <w:r w:rsidRPr="00552791">
              <w:rPr>
                <w:rFonts w:ascii="Arial" w:eastAsia="Calibri" w:hAnsi="Arial" w:cs="Arial"/>
                <w:b/>
              </w:rPr>
              <w:t>Band</w:t>
            </w:r>
          </w:p>
        </w:tc>
        <w:tc>
          <w:tcPr>
            <w:tcW w:w="889" w:type="dxa"/>
            <w:shd w:val="clear" w:color="auto" w:fill="auto"/>
          </w:tcPr>
          <w:p w14:paraId="7A3DB15E" w14:textId="77777777" w:rsidR="001B5B24" w:rsidRPr="00552791" w:rsidRDefault="001B5B24" w:rsidP="0072747C">
            <w:pPr>
              <w:spacing w:before="240" w:after="100" w:afterAutospacing="1"/>
              <w:jc w:val="both"/>
              <w:rPr>
                <w:rFonts w:ascii="Arial" w:eastAsia="Calibri" w:hAnsi="Arial" w:cs="Arial"/>
                <w:b/>
              </w:rPr>
            </w:pPr>
            <w:r w:rsidRPr="00552791">
              <w:rPr>
                <w:rFonts w:ascii="Arial" w:eastAsia="Calibri" w:hAnsi="Arial" w:cs="Arial"/>
                <w:b/>
              </w:rPr>
              <w:t xml:space="preserve">Male </w:t>
            </w:r>
          </w:p>
        </w:tc>
        <w:tc>
          <w:tcPr>
            <w:tcW w:w="1097" w:type="dxa"/>
            <w:shd w:val="clear" w:color="auto" w:fill="auto"/>
          </w:tcPr>
          <w:p w14:paraId="2BCA6AC5" w14:textId="77777777" w:rsidR="001B5B24" w:rsidRPr="00552791" w:rsidRDefault="001B5B24" w:rsidP="0072747C">
            <w:pPr>
              <w:spacing w:before="240" w:after="100" w:afterAutospacing="1"/>
              <w:jc w:val="both"/>
              <w:rPr>
                <w:rFonts w:ascii="Arial" w:eastAsia="Calibri" w:hAnsi="Arial" w:cs="Arial"/>
                <w:b/>
              </w:rPr>
            </w:pPr>
            <w:r w:rsidRPr="00552791">
              <w:rPr>
                <w:rFonts w:ascii="Arial" w:eastAsia="Calibri" w:hAnsi="Arial" w:cs="Arial"/>
                <w:b/>
              </w:rPr>
              <w:t>Female</w:t>
            </w:r>
          </w:p>
        </w:tc>
      </w:tr>
      <w:tr w:rsidR="00873D5C" w:rsidRPr="00552791" w14:paraId="76A995CC" w14:textId="77777777" w:rsidTr="00873D5C">
        <w:tc>
          <w:tcPr>
            <w:tcW w:w="3008" w:type="dxa"/>
            <w:shd w:val="clear" w:color="auto" w:fill="auto"/>
          </w:tcPr>
          <w:p w14:paraId="2A7CB375" w14:textId="77777777" w:rsidR="00873D5C" w:rsidRPr="00552791" w:rsidRDefault="00873D5C" w:rsidP="00873D5C">
            <w:pPr>
              <w:spacing w:before="240" w:after="100" w:afterAutospacing="1"/>
              <w:jc w:val="both"/>
              <w:rPr>
                <w:rFonts w:ascii="Arial" w:eastAsia="Calibri" w:hAnsi="Arial" w:cs="Arial"/>
              </w:rPr>
            </w:pPr>
            <w:r w:rsidRPr="00552791">
              <w:rPr>
                <w:rFonts w:ascii="Arial" w:eastAsia="Calibri" w:hAnsi="Arial" w:cs="Arial"/>
              </w:rPr>
              <w:t>Lower Quartile</w:t>
            </w:r>
          </w:p>
        </w:tc>
        <w:tc>
          <w:tcPr>
            <w:tcW w:w="889" w:type="dxa"/>
            <w:shd w:val="clear" w:color="auto" w:fill="auto"/>
          </w:tcPr>
          <w:p w14:paraId="0CFD5437" w14:textId="43787FF7" w:rsidR="00873D5C" w:rsidRPr="00873D5C" w:rsidRDefault="00873D5C" w:rsidP="00873D5C">
            <w:pPr>
              <w:spacing w:before="240" w:after="100" w:afterAutospacing="1"/>
              <w:jc w:val="both"/>
              <w:rPr>
                <w:rFonts w:ascii="Arial" w:eastAsia="Calibri" w:hAnsi="Arial" w:cs="Arial"/>
              </w:rPr>
            </w:pPr>
            <w:r w:rsidRPr="00873D5C">
              <w:rPr>
                <w:rFonts w:ascii="Arial" w:eastAsia="Calibri" w:hAnsi="Arial" w:cs="Arial"/>
              </w:rPr>
              <w:t>35%</w:t>
            </w:r>
          </w:p>
        </w:tc>
        <w:tc>
          <w:tcPr>
            <w:tcW w:w="1097" w:type="dxa"/>
            <w:shd w:val="clear" w:color="auto" w:fill="auto"/>
          </w:tcPr>
          <w:p w14:paraId="6D948B1C" w14:textId="124D3FA6" w:rsidR="00873D5C" w:rsidRPr="00873D5C" w:rsidRDefault="00873D5C" w:rsidP="00873D5C">
            <w:pPr>
              <w:spacing w:before="240" w:after="100" w:afterAutospacing="1"/>
              <w:jc w:val="both"/>
              <w:rPr>
                <w:rFonts w:ascii="Arial" w:eastAsia="Calibri" w:hAnsi="Arial" w:cs="Arial"/>
              </w:rPr>
            </w:pPr>
            <w:r w:rsidRPr="00873D5C">
              <w:rPr>
                <w:rFonts w:ascii="Arial" w:eastAsia="Calibri" w:hAnsi="Arial" w:cs="Arial"/>
              </w:rPr>
              <w:t>65%</w:t>
            </w:r>
          </w:p>
        </w:tc>
      </w:tr>
      <w:tr w:rsidR="00873D5C" w:rsidRPr="00552791" w14:paraId="0D98E087" w14:textId="77777777" w:rsidTr="00873D5C">
        <w:tc>
          <w:tcPr>
            <w:tcW w:w="3008" w:type="dxa"/>
            <w:shd w:val="clear" w:color="auto" w:fill="auto"/>
          </w:tcPr>
          <w:p w14:paraId="62E4B136" w14:textId="77777777" w:rsidR="00873D5C" w:rsidRPr="00552791" w:rsidRDefault="00873D5C" w:rsidP="00873D5C">
            <w:pPr>
              <w:spacing w:before="240" w:after="100" w:afterAutospacing="1"/>
              <w:jc w:val="both"/>
              <w:rPr>
                <w:rFonts w:ascii="Arial" w:eastAsia="Calibri" w:hAnsi="Arial" w:cs="Arial"/>
              </w:rPr>
            </w:pPr>
            <w:r w:rsidRPr="00552791">
              <w:rPr>
                <w:rFonts w:ascii="Arial" w:eastAsia="Calibri" w:hAnsi="Arial" w:cs="Arial"/>
              </w:rPr>
              <w:t>Middle Lower Quartile</w:t>
            </w:r>
          </w:p>
        </w:tc>
        <w:tc>
          <w:tcPr>
            <w:tcW w:w="889" w:type="dxa"/>
            <w:shd w:val="clear" w:color="auto" w:fill="auto"/>
          </w:tcPr>
          <w:p w14:paraId="7A6F596D" w14:textId="714005AD" w:rsidR="00873D5C" w:rsidRPr="00873D5C" w:rsidRDefault="00873D5C" w:rsidP="00873D5C">
            <w:pPr>
              <w:spacing w:before="240" w:after="100" w:afterAutospacing="1"/>
              <w:jc w:val="both"/>
              <w:rPr>
                <w:rFonts w:ascii="Arial" w:eastAsia="Calibri" w:hAnsi="Arial" w:cs="Arial"/>
              </w:rPr>
            </w:pPr>
            <w:r w:rsidRPr="00873D5C">
              <w:rPr>
                <w:rFonts w:ascii="Arial" w:eastAsia="Calibri" w:hAnsi="Arial" w:cs="Arial"/>
              </w:rPr>
              <w:t>42%</w:t>
            </w:r>
          </w:p>
        </w:tc>
        <w:tc>
          <w:tcPr>
            <w:tcW w:w="1097" w:type="dxa"/>
            <w:shd w:val="clear" w:color="auto" w:fill="auto"/>
          </w:tcPr>
          <w:p w14:paraId="1CC6B19F" w14:textId="24B29FF5" w:rsidR="00873D5C" w:rsidRPr="00873D5C" w:rsidRDefault="00873D5C" w:rsidP="00873D5C">
            <w:pPr>
              <w:spacing w:before="240" w:after="100" w:afterAutospacing="1"/>
              <w:jc w:val="both"/>
              <w:rPr>
                <w:rFonts w:ascii="Arial" w:eastAsia="Calibri" w:hAnsi="Arial" w:cs="Arial"/>
              </w:rPr>
            </w:pPr>
            <w:r w:rsidRPr="00873D5C">
              <w:rPr>
                <w:rFonts w:ascii="Arial" w:eastAsia="Calibri" w:hAnsi="Arial" w:cs="Arial"/>
              </w:rPr>
              <w:t>58%</w:t>
            </w:r>
          </w:p>
        </w:tc>
      </w:tr>
      <w:tr w:rsidR="00873D5C" w:rsidRPr="00552791" w14:paraId="54A81803" w14:textId="77777777" w:rsidTr="00873D5C">
        <w:tc>
          <w:tcPr>
            <w:tcW w:w="3008" w:type="dxa"/>
            <w:shd w:val="clear" w:color="auto" w:fill="auto"/>
          </w:tcPr>
          <w:p w14:paraId="3CEA64A0" w14:textId="77777777" w:rsidR="00873D5C" w:rsidRPr="00552791" w:rsidRDefault="00873D5C" w:rsidP="00873D5C">
            <w:pPr>
              <w:spacing w:before="240" w:after="100" w:afterAutospacing="1"/>
              <w:jc w:val="both"/>
              <w:rPr>
                <w:rFonts w:ascii="Arial" w:eastAsia="Calibri" w:hAnsi="Arial" w:cs="Arial"/>
              </w:rPr>
            </w:pPr>
            <w:r w:rsidRPr="00552791">
              <w:rPr>
                <w:rFonts w:ascii="Arial" w:eastAsia="Calibri" w:hAnsi="Arial" w:cs="Arial"/>
              </w:rPr>
              <w:t>Upper Middle Quartile</w:t>
            </w:r>
          </w:p>
        </w:tc>
        <w:tc>
          <w:tcPr>
            <w:tcW w:w="889" w:type="dxa"/>
            <w:shd w:val="clear" w:color="auto" w:fill="auto"/>
          </w:tcPr>
          <w:p w14:paraId="07230FD7" w14:textId="268F89E5" w:rsidR="00873D5C" w:rsidRPr="00873D5C" w:rsidRDefault="00873D5C" w:rsidP="00873D5C">
            <w:pPr>
              <w:spacing w:before="240" w:after="100" w:afterAutospacing="1"/>
              <w:jc w:val="both"/>
              <w:rPr>
                <w:rFonts w:ascii="Arial" w:eastAsia="Calibri" w:hAnsi="Arial" w:cs="Arial"/>
              </w:rPr>
            </w:pPr>
            <w:r w:rsidRPr="00873D5C">
              <w:rPr>
                <w:rFonts w:ascii="Arial" w:eastAsia="Calibri" w:hAnsi="Arial" w:cs="Arial"/>
              </w:rPr>
              <w:t>50%</w:t>
            </w:r>
          </w:p>
        </w:tc>
        <w:tc>
          <w:tcPr>
            <w:tcW w:w="1097" w:type="dxa"/>
            <w:shd w:val="clear" w:color="auto" w:fill="auto"/>
          </w:tcPr>
          <w:p w14:paraId="67236A0B" w14:textId="6EEC1149" w:rsidR="00873D5C" w:rsidRPr="00873D5C" w:rsidRDefault="00873D5C" w:rsidP="00873D5C">
            <w:pPr>
              <w:spacing w:before="240" w:after="100" w:afterAutospacing="1"/>
              <w:jc w:val="both"/>
              <w:rPr>
                <w:rFonts w:ascii="Arial" w:eastAsia="Calibri" w:hAnsi="Arial" w:cs="Arial"/>
              </w:rPr>
            </w:pPr>
            <w:r w:rsidRPr="00873D5C">
              <w:rPr>
                <w:rFonts w:ascii="Arial" w:eastAsia="Calibri" w:hAnsi="Arial" w:cs="Arial"/>
              </w:rPr>
              <w:t>50%</w:t>
            </w:r>
          </w:p>
        </w:tc>
      </w:tr>
      <w:tr w:rsidR="00873D5C" w:rsidRPr="00552791" w14:paraId="35F3EDA2" w14:textId="77777777" w:rsidTr="00873D5C">
        <w:tc>
          <w:tcPr>
            <w:tcW w:w="3008" w:type="dxa"/>
            <w:shd w:val="clear" w:color="auto" w:fill="auto"/>
          </w:tcPr>
          <w:p w14:paraId="4FAE1A22" w14:textId="77777777" w:rsidR="00873D5C" w:rsidRPr="00552791" w:rsidRDefault="00873D5C" w:rsidP="00873D5C">
            <w:pPr>
              <w:spacing w:before="240" w:after="100" w:afterAutospacing="1"/>
              <w:jc w:val="both"/>
              <w:rPr>
                <w:rFonts w:ascii="Arial" w:eastAsia="Calibri" w:hAnsi="Arial" w:cs="Arial"/>
              </w:rPr>
            </w:pPr>
            <w:r w:rsidRPr="00552791">
              <w:rPr>
                <w:rFonts w:ascii="Arial" w:eastAsia="Calibri" w:hAnsi="Arial" w:cs="Arial"/>
              </w:rPr>
              <w:lastRenderedPageBreak/>
              <w:t>Upper Pay Quartile</w:t>
            </w:r>
          </w:p>
        </w:tc>
        <w:tc>
          <w:tcPr>
            <w:tcW w:w="889" w:type="dxa"/>
            <w:shd w:val="clear" w:color="auto" w:fill="auto"/>
          </w:tcPr>
          <w:p w14:paraId="652D6B88" w14:textId="0E6F9ED2" w:rsidR="00873D5C" w:rsidRPr="00873D5C" w:rsidRDefault="00873D5C" w:rsidP="00873D5C">
            <w:pPr>
              <w:spacing w:before="240" w:after="100" w:afterAutospacing="1"/>
              <w:jc w:val="both"/>
              <w:rPr>
                <w:rFonts w:ascii="Arial" w:eastAsia="Calibri" w:hAnsi="Arial" w:cs="Arial"/>
              </w:rPr>
            </w:pPr>
            <w:r w:rsidRPr="00873D5C">
              <w:rPr>
                <w:rFonts w:ascii="Arial" w:eastAsia="Calibri" w:hAnsi="Arial" w:cs="Arial"/>
              </w:rPr>
              <w:t>56%</w:t>
            </w:r>
          </w:p>
        </w:tc>
        <w:tc>
          <w:tcPr>
            <w:tcW w:w="1097" w:type="dxa"/>
            <w:shd w:val="clear" w:color="auto" w:fill="auto"/>
          </w:tcPr>
          <w:p w14:paraId="1A8330CD" w14:textId="290050F2" w:rsidR="00873D5C" w:rsidRPr="00873D5C" w:rsidRDefault="00873D5C" w:rsidP="00873D5C">
            <w:pPr>
              <w:spacing w:before="240" w:after="100" w:afterAutospacing="1"/>
              <w:jc w:val="both"/>
              <w:rPr>
                <w:rFonts w:ascii="Arial" w:eastAsia="Calibri" w:hAnsi="Arial" w:cs="Arial"/>
              </w:rPr>
            </w:pPr>
            <w:r w:rsidRPr="00873D5C">
              <w:rPr>
                <w:rFonts w:ascii="Arial" w:eastAsia="Calibri" w:hAnsi="Arial" w:cs="Arial"/>
              </w:rPr>
              <w:t>44%</w:t>
            </w:r>
          </w:p>
        </w:tc>
      </w:tr>
    </w:tbl>
    <w:p w14:paraId="69F02C6D" w14:textId="77777777" w:rsidR="001B5B24" w:rsidRPr="00552791" w:rsidRDefault="001B5B24" w:rsidP="0072747C">
      <w:pPr>
        <w:spacing w:after="135" w:line="360" w:lineRule="atLeast"/>
        <w:jc w:val="both"/>
        <w:rPr>
          <w:rFonts w:ascii="Arial" w:hAnsi="Arial" w:cs="Arial"/>
          <w:b/>
        </w:rPr>
      </w:pPr>
    </w:p>
    <w:p w14:paraId="3DE543DD" w14:textId="63BAF8A3" w:rsidR="00BF1395" w:rsidRPr="00552791" w:rsidRDefault="00BF1395" w:rsidP="0072747C">
      <w:pPr>
        <w:spacing w:after="135" w:line="360" w:lineRule="atLeast"/>
        <w:jc w:val="both"/>
        <w:rPr>
          <w:rFonts w:ascii="Arial" w:hAnsi="Arial" w:cs="Arial"/>
          <w:lang w:val="en"/>
        </w:rPr>
      </w:pPr>
      <w:r w:rsidRPr="00552791">
        <w:rPr>
          <w:rFonts w:ascii="Arial" w:hAnsi="Arial" w:cs="Arial"/>
          <w:color w:val="333333"/>
          <w:lang w:val="en"/>
        </w:rPr>
        <w:t>Our mean and median differences between the hourl</w:t>
      </w:r>
      <w:r w:rsidR="00AC7387">
        <w:rPr>
          <w:rFonts w:ascii="Arial" w:hAnsi="Arial" w:cs="Arial"/>
          <w:color w:val="333333"/>
          <w:lang w:val="en"/>
        </w:rPr>
        <w:t>y pay rate of men and women are</w:t>
      </w:r>
      <w:r w:rsidR="00A54CE6">
        <w:rPr>
          <w:rFonts w:ascii="Arial" w:hAnsi="Arial" w:cs="Arial"/>
          <w:color w:val="333333"/>
          <w:lang w:val="en"/>
        </w:rPr>
        <w:t xml:space="preserve"> 9.6% and </w:t>
      </w:r>
      <w:r w:rsidR="00873D5C">
        <w:rPr>
          <w:rFonts w:ascii="Arial" w:hAnsi="Arial" w:cs="Arial"/>
          <w:color w:val="333333"/>
          <w:lang w:val="en"/>
        </w:rPr>
        <w:t>8.0</w:t>
      </w:r>
      <w:r w:rsidRPr="00552791">
        <w:rPr>
          <w:rFonts w:ascii="Arial" w:hAnsi="Arial" w:cs="Arial"/>
          <w:color w:val="333333"/>
          <w:lang w:val="en"/>
        </w:rPr>
        <w:t>% respectively</w:t>
      </w:r>
      <w:r w:rsidR="00AC7387">
        <w:rPr>
          <w:rFonts w:ascii="Arial" w:hAnsi="Arial" w:cs="Arial"/>
          <w:color w:val="333333"/>
          <w:lang w:val="en"/>
        </w:rPr>
        <w:t xml:space="preserve">. This </w:t>
      </w:r>
      <w:r w:rsidR="00A54CE6">
        <w:rPr>
          <w:rFonts w:ascii="Arial" w:hAnsi="Arial" w:cs="Arial"/>
          <w:color w:val="333333"/>
          <w:lang w:val="en"/>
        </w:rPr>
        <w:t>show</w:t>
      </w:r>
      <w:r w:rsidR="00873D5C">
        <w:rPr>
          <w:rFonts w:ascii="Arial" w:hAnsi="Arial" w:cs="Arial"/>
          <w:color w:val="333333"/>
          <w:lang w:val="en"/>
        </w:rPr>
        <w:t xml:space="preserve">s that our mean pay gap has </w:t>
      </w:r>
      <w:r w:rsidR="00BB0754">
        <w:rPr>
          <w:rFonts w:ascii="Arial" w:hAnsi="Arial" w:cs="Arial"/>
          <w:color w:val="333333"/>
          <w:lang w:val="en"/>
        </w:rPr>
        <w:t>stayed consistent,</w:t>
      </w:r>
      <w:r w:rsidR="00873D5C">
        <w:rPr>
          <w:rFonts w:ascii="Arial" w:hAnsi="Arial" w:cs="Arial"/>
          <w:color w:val="333333"/>
          <w:lang w:val="en"/>
        </w:rPr>
        <w:t xml:space="preserve"> however our median gap</w:t>
      </w:r>
      <w:r w:rsidR="00BB0754">
        <w:rPr>
          <w:rFonts w:ascii="Arial" w:hAnsi="Arial" w:cs="Arial"/>
          <w:color w:val="333333"/>
          <w:lang w:val="en"/>
        </w:rPr>
        <w:t xml:space="preserve"> has </w:t>
      </w:r>
      <w:r w:rsidR="00873D5C">
        <w:rPr>
          <w:rFonts w:ascii="Arial" w:hAnsi="Arial" w:cs="Arial"/>
          <w:color w:val="333333"/>
          <w:lang w:val="en"/>
        </w:rPr>
        <w:t xml:space="preserve">widened </w:t>
      </w:r>
      <w:r w:rsidR="00BB0754">
        <w:rPr>
          <w:rFonts w:ascii="Arial" w:hAnsi="Arial" w:cs="Arial"/>
          <w:color w:val="333333"/>
          <w:lang w:val="en"/>
        </w:rPr>
        <w:t>by 1.8%</w:t>
      </w:r>
      <w:r w:rsidR="00753D23">
        <w:rPr>
          <w:rFonts w:ascii="Arial" w:hAnsi="Arial" w:cs="Arial"/>
          <w:color w:val="333333"/>
          <w:lang w:val="en"/>
        </w:rPr>
        <w:t xml:space="preserve"> which is disappointing</w:t>
      </w:r>
      <w:r w:rsidR="00A54CE6">
        <w:rPr>
          <w:rFonts w:ascii="Arial" w:hAnsi="Arial" w:cs="Arial"/>
          <w:color w:val="333333"/>
          <w:lang w:val="en"/>
        </w:rPr>
        <w:t>. We do recognise</w:t>
      </w:r>
      <w:r w:rsidR="00AC7387">
        <w:rPr>
          <w:rFonts w:ascii="Arial" w:hAnsi="Arial" w:cs="Arial"/>
          <w:color w:val="333333"/>
          <w:lang w:val="en"/>
        </w:rPr>
        <w:t xml:space="preserve"> that we need to further investigate as to why our median gap has widened but also </w:t>
      </w:r>
      <w:r w:rsidR="00A54CE6">
        <w:rPr>
          <w:rFonts w:ascii="Arial" w:hAnsi="Arial" w:cs="Arial"/>
          <w:color w:val="333333"/>
          <w:lang w:val="en"/>
        </w:rPr>
        <w:t>continue to</w:t>
      </w:r>
      <w:r w:rsidR="00AC7387">
        <w:rPr>
          <w:rFonts w:ascii="Arial" w:hAnsi="Arial" w:cs="Arial"/>
          <w:color w:val="333333"/>
          <w:lang w:val="en"/>
        </w:rPr>
        <w:t xml:space="preserve"> make</w:t>
      </w:r>
      <w:r w:rsidR="00A54CE6">
        <w:rPr>
          <w:rFonts w:ascii="Arial" w:hAnsi="Arial" w:cs="Arial"/>
          <w:color w:val="333333"/>
          <w:lang w:val="en"/>
        </w:rPr>
        <w:t xml:space="preserve"> improve</w:t>
      </w:r>
      <w:r w:rsidR="00AC7387">
        <w:rPr>
          <w:rFonts w:ascii="Arial" w:hAnsi="Arial" w:cs="Arial"/>
          <w:color w:val="333333"/>
          <w:lang w:val="en"/>
        </w:rPr>
        <w:t xml:space="preserve">ments on our overall position </w:t>
      </w:r>
      <w:r w:rsidR="00A54CE6">
        <w:rPr>
          <w:rFonts w:ascii="Arial" w:hAnsi="Arial" w:cs="Arial"/>
          <w:color w:val="333333"/>
          <w:lang w:val="en"/>
        </w:rPr>
        <w:t xml:space="preserve">and </w:t>
      </w:r>
      <w:r w:rsidR="00AC7387">
        <w:rPr>
          <w:rFonts w:ascii="Arial" w:hAnsi="Arial" w:cs="Arial"/>
          <w:color w:val="333333"/>
          <w:lang w:val="en"/>
        </w:rPr>
        <w:t>not</w:t>
      </w:r>
      <w:r w:rsidR="00A54CE6">
        <w:rPr>
          <w:rFonts w:ascii="Arial" w:hAnsi="Arial" w:cs="Arial"/>
          <w:color w:val="333333"/>
          <w:lang w:val="en"/>
        </w:rPr>
        <w:t xml:space="preserve"> become complacent. </w:t>
      </w:r>
      <w:r w:rsidRPr="00552791">
        <w:rPr>
          <w:rFonts w:ascii="Arial" w:hAnsi="Arial" w:cs="Arial"/>
          <w:color w:val="333333"/>
          <w:lang w:val="en"/>
        </w:rPr>
        <w:t xml:space="preserve"> </w:t>
      </w:r>
    </w:p>
    <w:p w14:paraId="2610302B" w14:textId="2891BAB4" w:rsidR="00212E9A" w:rsidRPr="00552791" w:rsidRDefault="00BB0754" w:rsidP="0072747C">
      <w:pPr>
        <w:spacing w:after="135" w:line="360" w:lineRule="atLeast"/>
        <w:jc w:val="both"/>
        <w:rPr>
          <w:rFonts w:ascii="Arial" w:hAnsi="Arial" w:cs="Arial"/>
          <w:lang w:val="en"/>
        </w:rPr>
      </w:pPr>
      <w:r>
        <w:rPr>
          <w:rFonts w:ascii="Arial" w:hAnsi="Arial" w:cs="Arial"/>
          <w:lang w:val="en"/>
        </w:rPr>
        <w:t>In 2019</w:t>
      </w:r>
      <w:r w:rsidR="00A54CE6">
        <w:rPr>
          <w:rFonts w:ascii="Arial" w:hAnsi="Arial" w:cs="Arial"/>
          <w:lang w:val="en"/>
        </w:rPr>
        <w:t xml:space="preserve"> we committed to a number of actions to close the gap and similar actions remain very much part of our agenda for the coming year:-</w:t>
      </w:r>
    </w:p>
    <w:p w14:paraId="5614B6E3" w14:textId="77777777" w:rsidR="00AD5FA0" w:rsidRPr="00552791" w:rsidRDefault="00AD5FA0" w:rsidP="0072747C">
      <w:pPr>
        <w:pStyle w:val="ListParagraph"/>
        <w:numPr>
          <w:ilvl w:val="0"/>
          <w:numId w:val="3"/>
        </w:numPr>
        <w:spacing w:after="135" w:line="360" w:lineRule="atLeast"/>
        <w:jc w:val="both"/>
        <w:rPr>
          <w:rFonts w:ascii="Arial" w:hAnsi="Arial" w:cs="Arial"/>
          <w:lang w:val="en"/>
        </w:rPr>
      </w:pPr>
      <w:r w:rsidRPr="00552791">
        <w:rPr>
          <w:rFonts w:ascii="Arial" w:hAnsi="Arial" w:cs="Arial"/>
          <w:lang w:val="en"/>
        </w:rPr>
        <w:t xml:space="preserve">An Athena SWAN action plan to </w:t>
      </w:r>
      <w:r w:rsidR="00A54CE6">
        <w:rPr>
          <w:rFonts w:ascii="Arial" w:hAnsi="Arial" w:cs="Arial"/>
          <w:lang w:val="en"/>
        </w:rPr>
        <w:t>make further progress on gender equality</w:t>
      </w:r>
    </w:p>
    <w:p w14:paraId="73B9176D" w14:textId="77777777" w:rsidR="00AD5FA0" w:rsidRPr="00552791" w:rsidRDefault="00AD5FA0" w:rsidP="0072747C">
      <w:pPr>
        <w:pStyle w:val="ListParagraph"/>
        <w:numPr>
          <w:ilvl w:val="0"/>
          <w:numId w:val="3"/>
        </w:numPr>
        <w:spacing w:after="135" w:line="360" w:lineRule="atLeast"/>
        <w:jc w:val="both"/>
        <w:rPr>
          <w:rFonts w:ascii="Arial" w:hAnsi="Arial" w:cs="Arial"/>
          <w:lang w:val="en"/>
        </w:rPr>
      </w:pPr>
      <w:r w:rsidRPr="00552791">
        <w:rPr>
          <w:rFonts w:ascii="Arial" w:hAnsi="Arial" w:cs="Arial"/>
          <w:lang w:val="en"/>
        </w:rPr>
        <w:t>Internal mentoring and coaching for women seeking promotion / conferment through our annual process</w:t>
      </w:r>
    </w:p>
    <w:p w14:paraId="1EC49F32" w14:textId="77777777" w:rsidR="00AD5FA0" w:rsidRPr="00552791" w:rsidRDefault="00AD5FA0" w:rsidP="0072747C">
      <w:pPr>
        <w:pStyle w:val="ListParagraph"/>
        <w:numPr>
          <w:ilvl w:val="0"/>
          <w:numId w:val="3"/>
        </w:numPr>
        <w:spacing w:after="135" w:line="360" w:lineRule="atLeast"/>
        <w:jc w:val="both"/>
        <w:rPr>
          <w:rFonts w:ascii="Arial" w:hAnsi="Arial" w:cs="Arial"/>
          <w:lang w:val="en"/>
        </w:rPr>
      </w:pPr>
      <w:r w:rsidRPr="00552791">
        <w:rPr>
          <w:rFonts w:ascii="Arial" w:hAnsi="Arial" w:cs="Arial"/>
          <w:lang w:val="en"/>
        </w:rPr>
        <w:t>External mentoring and development for women including Aurora participation</w:t>
      </w:r>
      <w:r w:rsidR="00A54CE6">
        <w:rPr>
          <w:rFonts w:ascii="Arial" w:hAnsi="Arial" w:cs="Arial"/>
          <w:lang w:val="en"/>
        </w:rPr>
        <w:t xml:space="preserve"> and the introduction of the Springboard programme</w:t>
      </w:r>
    </w:p>
    <w:p w14:paraId="781BF888" w14:textId="77777777" w:rsidR="00AD5FA0" w:rsidRPr="00552791" w:rsidRDefault="00AD5FA0" w:rsidP="0072747C">
      <w:pPr>
        <w:pStyle w:val="ListParagraph"/>
        <w:numPr>
          <w:ilvl w:val="0"/>
          <w:numId w:val="3"/>
        </w:numPr>
        <w:spacing w:after="135" w:line="360" w:lineRule="atLeast"/>
        <w:jc w:val="both"/>
        <w:rPr>
          <w:rFonts w:ascii="Arial" w:hAnsi="Arial" w:cs="Arial"/>
          <w:lang w:val="en"/>
        </w:rPr>
      </w:pPr>
      <w:r w:rsidRPr="00552791">
        <w:rPr>
          <w:rFonts w:ascii="Arial" w:hAnsi="Arial" w:cs="Arial"/>
          <w:lang w:val="en"/>
        </w:rPr>
        <w:t xml:space="preserve">Analysis of gender data </w:t>
      </w:r>
      <w:r w:rsidR="002D028E">
        <w:rPr>
          <w:rFonts w:ascii="Arial" w:hAnsi="Arial" w:cs="Arial"/>
          <w:lang w:val="en"/>
        </w:rPr>
        <w:t>within the recruitment and promotion cycles</w:t>
      </w:r>
    </w:p>
    <w:p w14:paraId="641A8286" w14:textId="77777777" w:rsidR="00AD5FA0" w:rsidRPr="00552791" w:rsidRDefault="002D028E" w:rsidP="0072747C">
      <w:pPr>
        <w:pStyle w:val="ListParagraph"/>
        <w:numPr>
          <w:ilvl w:val="0"/>
          <w:numId w:val="3"/>
        </w:numPr>
        <w:spacing w:after="135" w:line="360" w:lineRule="atLeast"/>
        <w:jc w:val="both"/>
        <w:rPr>
          <w:rFonts w:ascii="Arial" w:hAnsi="Arial" w:cs="Arial"/>
          <w:lang w:val="en"/>
        </w:rPr>
      </w:pPr>
      <w:r>
        <w:rPr>
          <w:rFonts w:ascii="Arial" w:hAnsi="Arial" w:cs="Arial"/>
          <w:lang w:val="en"/>
        </w:rPr>
        <w:t>We are actively reviewing our suite of family-friendly and flexible working policies</w:t>
      </w:r>
    </w:p>
    <w:p w14:paraId="680E381A" w14:textId="77777777" w:rsidR="009D26B2" w:rsidRDefault="009D26B2" w:rsidP="0072747C">
      <w:pPr>
        <w:spacing w:after="135" w:line="360" w:lineRule="atLeast"/>
        <w:jc w:val="both"/>
        <w:rPr>
          <w:rFonts w:ascii="Arial" w:hAnsi="Arial" w:cs="Arial"/>
          <w:lang w:val="en"/>
        </w:rPr>
      </w:pPr>
    </w:p>
    <w:p w14:paraId="048B2D18" w14:textId="451A8751" w:rsidR="00AD5FA0" w:rsidRPr="00552791" w:rsidRDefault="002D028E" w:rsidP="0072747C">
      <w:pPr>
        <w:spacing w:after="135" w:line="360" w:lineRule="atLeast"/>
        <w:jc w:val="both"/>
        <w:rPr>
          <w:rFonts w:ascii="Arial" w:hAnsi="Arial" w:cs="Arial"/>
          <w:lang w:val="en"/>
        </w:rPr>
      </w:pPr>
      <w:r>
        <w:rPr>
          <w:rFonts w:ascii="Arial" w:hAnsi="Arial" w:cs="Arial"/>
          <w:lang w:val="en"/>
        </w:rPr>
        <w:t xml:space="preserve">We are currently </w:t>
      </w:r>
      <w:r w:rsidR="0072747C">
        <w:rPr>
          <w:rFonts w:ascii="Arial" w:hAnsi="Arial" w:cs="Arial"/>
          <w:lang w:val="en"/>
        </w:rPr>
        <w:t>identifying</w:t>
      </w:r>
      <w:r>
        <w:rPr>
          <w:rFonts w:ascii="Arial" w:hAnsi="Arial" w:cs="Arial"/>
          <w:lang w:val="en"/>
        </w:rPr>
        <w:t xml:space="preserve"> how we can further </w:t>
      </w:r>
      <w:r w:rsidR="0072747C">
        <w:rPr>
          <w:rFonts w:ascii="Arial" w:hAnsi="Arial" w:cs="Arial"/>
          <w:lang w:val="en"/>
        </w:rPr>
        <w:t>strengthen</w:t>
      </w:r>
      <w:r>
        <w:rPr>
          <w:rFonts w:ascii="Arial" w:hAnsi="Arial" w:cs="Arial"/>
          <w:lang w:val="en"/>
        </w:rPr>
        <w:t xml:space="preserve"> our action plan, with the aspiration that we have a </w:t>
      </w:r>
      <w:r w:rsidR="0072747C">
        <w:rPr>
          <w:rFonts w:ascii="Arial" w:hAnsi="Arial" w:cs="Arial"/>
          <w:lang w:val="en"/>
        </w:rPr>
        <w:t>specific</w:t>
      </w:r>
      <w:r>
        <w:rPr>
          <w:rFonts w:ascii="Arial" w:hAnsi="Arial" w:cs="Arial"/>
          <w:lang w:val="en"/>
        </w:rPr>
        <w:t xml:space="preserve"> plan to move fo</w:t>
      </w:r>
      <w:r w:rsidR="0072747C">
        <w:rPr>
          <w:rFonts w:ascii="Arial" w:hAnsi="Arial" w:cs="Arial"/>
          <w:lang w:val="en"/>
        </w:rPr>
        <w:t>rwa</w:t>
      </w:r>
      <w:r>
        <w:rPr>
          <w:rFonts w:ascii="Arial" w:hAnsi="Arial" w:cs="Arial"/>
          <w:lang w:val="en"/>
        </w:rPr>
        <w:t>rd</w:t>
      </w:r>
      <w:r w:rsidR="00194080">
        <w:rPr>
          <w:rFonts w:ascii="Arial" w:hAnsi="Arial" w:cs="Arial"/>
          <w:lang w:val="en"/>
        </w:rPr>
        <w:t xml:space="preserve">. This </w:t>
      </w:r>
      <w:r w:rsidR="0072747C">
        <w:rPr>
          <w:rFonts w:ascii="Arial" w:hAnsi="Arial" w:cs="Arial"/>
          <w:lang w:val="en"/>
        </w:rPr>
        <w:t xml:space="preserve">plan will be published on the Birmingham City University website </w:t>
      </w:r>
      <w:r w:rsidR="00194080">
        <w:rPr>
          <w:rFonts w:ascii="Arial" w:hAnsi="Arial" w:cs="Arial"/>
          <w:lang w:val="en"/>
        </w:rPr>
        <w:t>alongside thi</w:t>
      </w:r>
      <w:bookmarkStart w:id="0" w:name="_GoBack"/>
      <w:bookmarkEnd w:id="0"/>
      <w:r w:rsidR="00194080">
        <w:rPr>
          <w:rFonts w:ascii="Arial" w:hAnsi="Arial" w:cs="Arial"/>
          <w:lang w:val="en"/>
        </w:rPr>
        <w:t xml:space="preserve">s document </w:t>
      </w:r>
      <w:r w:rsidR="0072747C">
        <w:rPr>
          <w:rFonts w:ascii="Arial" w:hAnsi="Arial" w:cs="Arial"/>
          <w:lang w:val="en"/>
        </w:rPr>
        <w:t xml:space="preserve">by </w:t>
      </w:r>
      <w:r w:rsidR="00753D23">
        <w:rPr>
          <w:rFonts w:ascii="Arial" w:hAnsi="Arial" w:cs="Arial"/>
          <w:lang w:val="en"/>
        </w:rPr>
        <w:t>30</w:t>
      </w:r>
      <w:r w:rsidR="00753D23" w:rsidRPr="0041223A">
        <w:rPr>
          <w:rFonts w:ascii="Arial" w:hAnsi="Arial" w:cs="Arial"/>
          <w:vertAlign w:val="superscript"/>
          <w:lang w:val="en"/>
        </w:rPr>
        <w:t>th</w:t>
      </w:r>
      <w:r w:rsidR="00753D23">
        <w:rPr>
          <w:rFonts w:ascii="Arial" w:hAnsi="Arial" w:cs="Arial"/>
          <w:lang w:val="en"/>
        </w:rPr>
        <w:t xml:space="preserve"> June </w:t>
      </w:r>
      <w:r w:rsidR="00954E72">
        <w:rPr>
          <w:rFonts w:ascii="Arial" w:hAnsi="Arial" w:cs="Arial"/>
          <w:lang w:val="en"/>
        </w:rPr>
        <w:t>2020</w:t>
      </w:r>
      <w:r w:rsidR="0072747C">
        <w:rPr>
          <w:rFonts w:ascii="Arial" w:hAnsi="Arial" w:cs="Arial"/>
          <w:lang w:val="en"/>
        </w:rPr>
        <w:t xml:space="preserve">. </w:t>
      </w:r>
    </w:p>
    <w:p w14:paraId="6A4D978E" w14:textId="77777777" w:rsidR="00AD5FA0" w:rsidRPr="00552791" w:rsidRDefault="00AD5FA0" w:rsidP="0072747C">
      <w:pPr>
        <w:spacing w:after="135" w:line="360" w:lineRule="atLeast"/>
        <w:jc w:val="both"/>
        <w:rPr>
          <w:rFonts w:ascii="Arial" w:hAnsi="Arial" w:cs="Arial"/>
          <w:lang w:val="en"/>
        </w:rPr>
      </w:pPr>
    </w:p>
    <w:p w14:paraId="3DBC1860" w14:textId="77777777" w:rsidR="00AD5FA0" w:rsidRPr="00552791" w:rsidRDefault="00AD5FA0" w:rsidP="0072747C">
      <w:pPr>
        <w:spacing w:after="135" w:line="360" w:lineRule="atLeast"/>
        <w:jc w:val="both"/>
        <w:rPr>
          <w:rFonts w:ascii="Arial" w:hAnsi="Arial" w:cs="Arial"/>
          <w:b/>
          <w:lang w:val="en"/>
        </w:rPr>
      </w:pPr>
      <w:r w:rsidRPr="00552791">
        <w:rPr>
          <w:rFonts w:ascii="Arial" w:hAnsi="Arial" w:cs="Arial"/>
          <w:b/>
          <w:lang w:val="en"/>
        </w:rPr>
        <w:t>Declaration</w:t>
      </w:r>
    </w:p>
    <w:p w14:paraId="73FFE307" w14:textId="77777777" w:rsidR="00AD5FA0" w:rsidRPr="00552791" w:rsidRDefault="00AD5FA0" w:rsidP="0072747C">
      <w:pPr>
        <w:spacing w:after="135" w:line="360" w:lineRule="atLeast"/>
        <w:jc w:val="both"/>
        <w:rPr>
          <w:rFonts w:ascii="Arial" w:hAnsi="Arial" w:cs="Arial"/>
          <w:color w:val="333333"/>
          <w:lang w:val="en"/>
        </w:rPr>
      </w:pPr>
      <w:r w:rsidRPr="00552791">
        <w:rPr>
          <w:rFonts w:ascii="Arial" w:hAnsi="Arial" w:cs="Arial"/>
          <w:color w:val="333333"/>
          <w:lang w:val="en"/>
        </w:rPr>
        <w:t>I confirm that the information set out in this report as required under the Equality Act 2010 (Gender Pay Gap Information) Regulations 2017 is accurate</w:t>
      </w:r>
    </w:p>
    <w:p w14:paraId="3AB580AD" w14:textId="77777777" w:rsidR="00AD5FA0" w:rsidRPr="00552791" w:rsidRDefault="00AD5FA0" w:rsidP="0072747C">
      <w:pPr>
        <w:spacing w:after="135" w:line="360" w:lineRule="atLeast"/>
        <w:jc w:val="both"/>
        <w:rPr>
          <w:rFonts w:ascii="Arial" w:hAnsi="Arial" w:cs="Arial"/>
          <w:color w:val="333333"/>
          <w:lang w:val="en"/>
        </w:rPr>
      </w:pPr>
    </w:p>
    <w:p w14:paraId="60162D82" w14:textId="77777777" w:rsidR="00AD5FA0" w:rsidRPr="00552791" w:rsidRDefault="00AD5FA0" w:rsidP="00AD5FA0">
      <w:pPr>
        <w:spacing w:after="135" w:line="360" w:lineRule="atLeast"/>
        <w:rPr>
          <w:rFonts w:ascii="Arial" w:hAnsi="Arial" w:cs="Arial"/>
          <w:color w:val="333333"/>
          <w:lang w:val="en"/>
        </w:rPr>
      </w:pPr>
    </w:p>
    <w:p w14:paraId="4DDCCB10" w14:textId="77777777" w:rsidR="00AD5FA0" w:rsidRPr="00194080" w:rsidRDefault="00AD5FA0" w:rsidP="00194080">
      <w:pPr>
        <w:spacing w:after="0" w:line="240" w:lineRule="auto"/>
        <w:rPr>
          <w:rFonts w:ascii="Arial" w:hAnsi="Arial" w:cs="Arial"/>
          <w:b/>
          <w:color w:val="333333"/>
          <w:lang w:val="en"/>
        </w:rPr>
      </w:pPr>
      <w:r w:rsidRPr="00194080">
        <w:rPr>
          <w:rFonts w:ascii="Arial" w:hAnsi="Arial" w:cs="Arial"/>
          <w:b/>
          <w:color w:val="333333"/>
          <w:lang w:val="en"/>
        </w:rPr>
        <w:t>Professor Philip Plowden</w:t>
      </w:r>
    </w:p>
    <w:p w14:paraId="2A6701CD" w14:textId="0C13D114" w:rsidR="00AD5FA0" w:rsidRPr="00194080" w:rsidRDefault="00AD5FA0" w:rsidP="00194080">
      <w:pPr>
        <w:spacing w:after="0" w:line="240" w:lineRule="auto"/>
        <w:rPr>
          <w:rFonts w:ascii="Arial" w:hAnsi="Arial" w:cs="Arial"/>
          <w:b/>
          <w:color w:val="333333"/>
          <w:lang w:val="en"/>
        </w:rPr>
      </w:pPr>
      <w:r w:rsidRPr="00194080">
        <w:rPr>
          <w:rFonts w:ascii="Arial" w:hAnsi="Arial" w:cs="Arial"/>
          <w:b/>
          <w:color w:val="333333"/>
          <w:lang w:val="en"/>
        </w:rPr>
        <w:t>Vice Chancellor</w:t>
      </w:r>
    </w:p>
    <w:p w14:paraId="6F489D6B" w14:textId="0C892A79" w:rsidR="00194080" w:rsidRPr="00194080" w:rsidRDefault="00194080" w:rsidP="00194080">
      <w:pPr>
        <w:spacing w:after="0" w:line="240" w:lineRule="auto"/>
        <w:rPr>
          <w:rFonts w:ascii="Arial" w:hAnsi="Arial" w:cs="Arial"/>
          <w:b/>
          <w:lang w:val="en"/>
        </w:rPr>
      </w:pPr>
      <w:r w:rsidRPr="00194080">
        <w:rPr>
          <w:rFonts w:ascii="Arial" w:hAnsi="Arial" w:cs="Arial"/>
          <w:b/>
          <w:lang w:val="en"/>
        </w:rPr>
        <w:t>Birmingham City University</w:t>
      </w:r>
    </w:p>
    <w:sectPr w:rsidR="00194080" w:rsidRPr="00194080" w:rsidSect="00873D5C">
      <w:pgSz w:w="11906" w:h="16838"/>
      <w:pgMar w:top="142"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4A851" w14:textId="77777777" w:rsidR="00F45512" w:rsidRDefault="00F45512" w:rsidP="00F45512">
      <w:pPr>
        <w:spacing w:after="0" w:line="240" w:lineRule="auto"/>
      </w:pPr>
      <w:r>
        <w:separator/>
      </w:r>
    </w:p>
  </w:endnote>
  <w:endnote w:type="continuationSeparator" w:id="0">
    <w:p w14:paraId="0D3500E7" w14:textId="77777777" w:rsidR="00F45512" w:rsidRDefault="00F45512" w:rsidP="00F45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DE828" w14:textId="77777777" w:rsidR="00F45512" w:rsidRDefault="00F45512" w:rsidP="00F45512">
      <w:pPr>
        <w:spacing w:after="0" w:line="240" w:lineRule="auto"/>
      </w:pPr>
      <w:r>
        <w:separator/>
      </w:r>
    </w:p>
  </w:footnote>
  <w:footnote w:type="continuationSeparator" w:id="0">
    <w:p w14:paraId="35E02D80" w14:textId="77777777" w:rsidR="00F45512" w:rsidRDefault="00F45512" w:rsidP="00F455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3E0B5F62"/>
    <w:multiLevelType w:val="multilevel"/>
    <w:tmpl w:val="0270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6C59CE"/>
    <w:multiLevelType w:val="hybridMultilevel"/>
    <w:tmpl w:val="DEDAF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401D10"/>
    <w:multiLevelType w:val="hybridMultilevel"/>
    <w:tmpl w:val="349E1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AB4"/>
    <w:rsid w:val="000132F8"/>
    <w:rsid w:val="000B208D"/>
    <w:rsid w:val="0014147E"/>
    <w:rsid w:val="00194080"/>
    <w:rsid w:val="001B5B24"/>
    <w:rsid w:val="00212E9A"/>
    <w:rsid w:val="00235E99"/>
    <w:rsid w:val="002B4C5D"/>
    <w:rsid w:val="002D028E"/>
    <w:rsid w:val="003F51CD"/>
    <w:rsid w:val="0041223A"/>
    <w:rsid w:val="004A4CC5"/>
    <w:rsid w:val="00550B17"/>
    <w:rsid w:val="00552791"/>
    <w:rsid w:val="0060635E"/>
    <w:rsid w:val="00674977"/>
    <w:rsid w:val="006B7AB4"/>
    <w:rsid w:val="0072747C"/>
    <w:rsid w:val="00753D23"/>
    <w:rsid w:val="00761F52"/>
    <w:rsid w:val="007B5CD2"/>
    <w:rsid w:val="007F7783"/>
    <w:rsid w:val="00873D5C"/>
    <w:rsid w:val="00954E72"/>
    <w:rsid w:val="009D26B2"/>
    <w:rsid w:val="009E63DD"/>
    <w:rsid w:val="00A54CE6"/>
    <w:rsid w:val="00AC7387"/>
    <w:rsid w:val="00AD5FA0"/>
    <w:rsid w:val="00BB0754"/>
    <w:rsid w:val="00BF1395"/>
    <w:rsid w:val="00C14D00"/>
    <w:rsid w:val="00ED65D4"/>
    <w:rsid w:val="00F24EAD"/>
    <w:rsid w:val="00F45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4B3D18"/>
  <w15:chartTrackingRefBased/>
  <w15:docId w15:val="{AD6EA478-963F-4648-9FE1-EC6B8520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7AB4"/>
    <w:pPr>
      <w:spacing w:after="135" w:line="270" w:lineRule="atLeast"/>
    </w:pPr>
    <w:rPr>
      <w:rFonts w:ascii="Helvetica" w:eastAsia="Times New Roman" w:hAnsi="Helvetica" w:cs="Helvetica"/>
      <w:sz w:val="20"/>
      <w:szCs w:val="20"/>
      <w:lang w:eastAsia="en-GB"/>
    </w:rPr>
  </w:style>
  <w:style w:type="paragraph" w:styleId="ListParagraph">
    <w:name w:val="List Paragraph"/>
    <w:basedOn w:val="Normal"/>
    <w:uiPriority w:val="34"/>
    <w:qFormat/>
    <w:rsid w:val="00212E9A"/>
    <w:pPr>
      <w:ind w:left="720"/>
      <w:contextualSpacing/>
    </w:pPr>
  </w:style>
  <w:style w:type="paragraph" w:styleId="BalloonText">
    <w:name w:val="Balloon Text"/>
    <w:basedOn w:val="Normal"/>
    <w:link w:val="BalloonTextChar"/>
    <w:uiPriority w:val="99"/>
    <w:semiHidden/>
    <w:unhideWhenUsed/>
    <w:rsid w:val="00A54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CE6"/>
    <w:rPr>
      <w:rFonts w:ascii="Segoe UI" w:hAnsi="Segoe UI" w:cs="Segoe UI"/>
      <w:sz w:val="18"/>
      <w:szCs w:val="18"/>
    </w:rPr>
  </w:style>
  <w:style w:type="paragraph" w:styleId="Header">
    <w:name w:val="header"/>
    <w:basedOn w:val="Normal"/>
    <w:link w:val="HeaderChar"/>
    <w:uiPriority w:val="99"/>
    <w:unhideWhenUsed/>
    <w:rsid w:val="00F455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512"/>
  </w:style>
  <w:style w:type="paragraph" w:styleId="Footer">
    <w:name w:val="footer"/>
    <w:basedOn w:val="Normal"/>
    <w:link w:val="FooterChar"/>
    <w:uiPriority w:val="99"/>
    <w:unhideWhenUsed/>
    <w:rsid w:val="00F455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512"/>
  </w:style>
  <w:style w:type="character" w:styleId="CommentReference">
    <w:name w:val="annotation reference"/>
    <w:basedOn w:val="DefaultParagraphFont"/>
    <w:uiPriority w:val="99"/>
    <w:semiHidden/>
    <w:unhideWhenUsed/>
    <w:rsid w:val="00753D23"/>
    <w:rPr>
      <w:sz w:val="16"/>
      <w:szCs w:val="16"/>
    </w:rPr>
  </w:style>
  <w:style w:type="paragraph" w:styleId="CommentText">
    <w:name w:val="annotation text"/>
    <w:basedOn w:val="Normal"/>
    <w:link w:val="CommentTextChar"/>
    <w:uiPriority w:val="99"/>
    <w:semiHidden/>
    <w:unhideWhenUsed/>
    <w:rsid w:val="00753D23"/>
    <w:pPr>
      <w:spacing w:line="240" w:lineRule="auto"/>
    </w:pPr>
    <w:rPr>
      <w:sz w:val="20"/>
      <w:szCs w:val="20"/>
    </w:rPr>
  </w:style>
  <w:style w:type="character" w:customStyle="1" w:styleId="CommentTextChar">
    <w:name w:val="Comment Text Char"/>
    <w:basedOn w:val="DefaultParagraphFont"/>
    <w:link w:val="CommentText"/>
    <w:uiPriority w:val="99"/>
    <w:semiHidden/>
    <w:rsid w:val="00753D23"/>
    <w:rPr>
      <w:sz w:val="20"/>
      <w:szCs w:val="20"/>
    </w:rPr>
  </w:style>
  <w:style w:type="paragraph" w:styleId="CommentSubject">
    <w:name w:val="annotation subject"/>
    <w:basedOn w:val="CommentText"/>
    <w:next w:val="CommentText"/>
    <w:link w:val="CommentSubjectChar"/>
    <w:uiPriority w:val="99"/>
    <w:semiHidden/>
    <w:unhideWhenUsed/>
    <w:rsid w:val="00753D23"/>
    <w:rPr>
      <w:b/>
      <w:bCs/>
    </w:rPr>
  </w:style>
  <w:style w:type="character" w:customStyle="1" w:styleId="CommentSubjectChar">
    <w:name w:val="Comment Subject Char"/>
    <w:basedOn w:val="CommentTextChar"/>
    <w:link w:val="CommentSubject"/>
    <w:uiPriority w:val="99"/>
    <w:semiHidden/>
    <w:rsid w:val="00753D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640850">
      <w:bodyDiv w:val="1"/>
      <w:marLeft w:val="0"/>
      <w:marRight w:val="0"/>
      <w:marTop w:val="0"/>
      <w:marBottom w:val="0"/>
      <w:divBdr>
        <w:top w:val="none" w:sz="0" w:space="0" w:color="auto"/>
        <w:left w:val="none" w:sz="0" w:space="0" w:color="auto"/>
        <w:bottom w:val="none" w:sz="0" w:space="0" w:color="auto"/>
        <w:right w:val="none" w:sz="0" w:space="0" w:color="auto"/>
      </w:divBdr>
      <w:divsChild>
        <w:div w:id="1332681458">
          <w:marLeft w:val="0"/>
          <w:marRight w:val="0"/>
          <w:marTop w:val="0"/>
          <w:marBottom w:val="0"/>
          <w:divBdr>
            <w:top w:val="none" w:sz="0" w:space="0" w:color="auto"/>
            <w:left w:val="none" w:sz="0" w:space="0" w:color="auto"/>
            <w:bottom w:val="none" w:sz="0" w:space="0" w:color="auto"/>
            <w:right w:val="none" w:sz="0" w:space="0" w:color="auto"/>
          </w:divBdr>
          <w:divsChild>
            <w:div w:id="708143874">
              <w:marLeft w:val="0"/>
              <w:marRight w:val="0"/>
              <w:marTop w:val="0"/>
              <w:marBottom w:val="0"/>
              <w:divBdr>
                <w:top w:val="none" w:sz="0" w:space="0" w:color="auto"/>
                <w:left w:val="none" w:sz="0" w:space="0" w:color="auto"/>
                <w:bottom w:val="none" w:sz="0" w:space="0" w:color="auto"/>
                <w:right w:val="none" w:sz="0" w:space="0" w:color="auto"/>
              </w:divBdr>
              <w:divsChild>
                <w:div w:id="1162425592">
                  <w:marLeft w:val="0"/>
                  <w:marRight w:val="0"/>
                  <w:marTop w:val="0"/>
                  <w:marBottom w:val="0"/>
                  <w:divBdr>
                    <w:top w:val="none" w:sz="0" w:space="0" w:color="auto"/>
                    <w:left w:val="none" w:sz="0" w:space="0" w:color="auto"/>
                    <w:bottom w:val="none" w:sz="0" w:space="0" w:color="auto"/>
                    <w:right w:val="none" w:sz="0" w:space="0" w:color="auto"/>
                  </w:divBdr>
                  <w:divsChild>
                    <w:div w:id="726731061">
                      <w:marLeft w:val="0"/>
                      <w:marRight w:val="0"/>
                      <w:marTop w:val="300"/>
                      <w:marBottom w:val="0"/>
                      <w:divBdr>
                        <w:top w:val="none" w:sz="0" w:space="0" w:color="auto"/>
                        <w:left w:val="none" w:sz="0" w:space="0" w:color="auto"/>
                        <w:bottom w:val="none" w:sz="0" w:space="0" w:color="auto"/>
                        <w:right w:val="none" w:sz="0" w:space="0" w:color="auto"/>
                      </w:divBdr>
                      <w:divsChild>
                        <w:div w:id="1456605019">
                          <w:marLeft w:val="-300"/>
                          <w:marRight w:val="0"/>
                          <w:marTop w:val="0"/>
                          <w:marBottom w:val="0"/>
                          <w:divBdr>
                            <w:top w:val="none" w:sz="0" w:space="0" w:color="auto"/>
                            <w:left w:val="none" w:sz="0" w:space="0" w:color="auto"/>
                            <w:bottom w:val="none" w:sz="0" w:space="0" w:color="auto"/>
                            <w:right w:val="none" w:sz="0" w:space="0" w:color="auto"/>
                          </w:divBdr>
                          <w:divsChild>
                            <w:div w:id="1004741800">
                              <w:marLeft w:val="0"/>
                              <w:marRight w:val="0"/>
                              <w:marTop w:val="0"/>
                              <w:marBottom w:val="0"/>
                              <w:divBdr>
                                <w:top w:val="none" w:sz="0" w:space="0" w:color="auto"/>
                                <w:left w:val="none" w:sz="0" w:space="0" w:color="auto"/>
                                <w:bottom w:val="none" w:sz="0" w:space="0" w:color="auto"/>
                                <w:right w:val="none" w:sz="0" w:space="0" w:color="auto"/>
                              </w:divBdr>
                              <w:divsChild>
                                <w:div w:id="905258489">
                                  <w:marLeft w:val="0"/>
                                  <w:marRight w:val="0"/>
                                  <w:marTop w:val="0"/>
                                  <w:marBottom w:val="150"/>
                                  <w:divBdr>
                                    <w:top w:val="none" w:sz="0" w:space="0" w:color="auto"/>
                                    <w:left w:val="none" w:sz="0" w:space="0" w:color="auto"/>
                                    <w:bottom w:val="none" w:sz="0" w:space="0" w:color="auto"/>
                                    <w:right w:val="none" w:sz="0" w:space="0" w:color="auto"/>
                                  </w:divBdr>
                                  <w:divsChild>
                                    <w:div w:id="1457094256">
                                      <w:marLeft w:val="0"/>
                                      <w:marRight w:val="0"/>
                                      <w:marTop w:val="0"/>
                                      <w:marBottom w:val="0"/>
                                      <w:divBdr>
                                        <w:top w:val="none" w:sz="0" w:space="0" w:color="auto"/>
                                        <w:left w:val="none" w:sz="0" w:space="0" w:color="auto"/>
                                        <w:bottom w:val="none" w:sz="0" w:space="0" w:color="auto"/>
                                        <w:right w:val="none" w:sz="0" w:space="0" w:color="auto"/>
                                      </w:divBdr>
                                    </w:div>
                                  </w:divsChild>
                                </w:div>
                                <w:div w:id="567349688">
                                  <w:marLeft w:val="0"/>
                                  <w:marRight w:val="0"/>
                                  <w:marTop w:val="0"/>
                                  <w:marBottom w:val="150"/>
                                  <w:divBdr>
                                    <w:top w:val="none" w:sz="0" w:space="0" w:color="auto"/>
                                    <w:left w:val="none" w:sz="0" w:space="0" w:color="auto"/>
                                    <w:bottom w:val="none" w:sz="0" w:space="0" w:color="auto"/>
                                    <w:right w:val="none" w:sz="0" w:space="0" w:color="auto"/>
                                  </w:divBdr>
                                  <w:divsChild>
                                    <w:div w:id="1454596344">
                                      <w:marLeft w:val="0"/>
                                      <w:marRight w:val="0"/>
                                      <w:marTop w:val="0"/>
                                      <w:marBottom w:val="0"/>
                                      <w:divBdr>
                                        <w:top w:val="none" w:sz="0" w:space="0" w:color="auto"/>
                                        <w:left w:val="none" w:sz="0" w:space="0" w:color="auto"/>
                                        <w:bottom w:val="none" w:sz="0" w:space="0" w:color="auto"/>
                                        <w:right w:val="none" w:sz="0" w:space="0" w:color="auto"/>
                                      </w:divBdr>
                                    </w:div>
                                  </w:divsChild>
                                </w:div>
                                <w:div w:id="910120587">
                                  <w:marLeft w:val="0"/>
                                  <w:marRight w:val="0"/>
                                  <w:marTop w:val="0"/>
                                  <w:marBottom w:val="150"/>
                                  <w:divBdr>
                                    <w:top w:val="none" w:sz="0" w:space="0" w:color="auto"/>
                                    <w:left w:val="none" w:sz="0" w:space="0" w:color="auto"/>
                                    <w:bottom w:val="none" w:sz="0" w:space="0" w:color="auto"/>
                                    <w:right w:val="none" w:sz="0" w:space="0" w:color="auto"/>
                                  </w:divBdr>
                                  <w:divsChild>
                                    <w:div w:id="5502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680254F78F9D4391303CE12DF34B52" ma:contentTypeVersion="13" ma:contentTypeDescription="Create a new document." ma:contentTypeScope="" ma:versionID="cbb514c46fef0908f9e29603826b57dd">
  <xsd:schema xmlns:xsd="http://www.w3.org/2001/XMLSchema" xmlns:xs="http://www.w3.org/2001/XMLSchema" xmlns:p="http://schemas.microsoft.com/office/2006/metadata/properties" xmlns:ns3="56c15082-68cd-4d12-9020-820701b9da0a" xmlns:ns4="203592e1-236a-44df-a5f3-4fbb90712973" targetNamespace="http://schemas.microsoft.com/office/2006/metadata/properties" ma:root="true" ma:fieldsID="e4289186f19f10f9e5bdeceddda00852" ns3:_="" ns4:_="">
    <xsd:import namespace="56c15082-68cd-4d12-9020-820701b9da0a"/>
    <xsd:import namespace="203592e1-236a-44df-a5f3-4fbb907129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15082-68cd-4d12-9020-820701b9da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3592e1-236a-44df-a5f3-4fbb907129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55D843-D66F-4F4C-932C-5B44886A0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15082-68cd-4d12-9020-820701b9da0a"/>
    <ds:schemaRef ds:uri="203592e1-236a-44df-a5f3-4fbb90712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B635D3-5852-43A2-B23C-B718646D829B}">
  <ds:schemaRefs>
    <ds:schemaRef ds:uri="203592e1-236a-44df-a5f3-4fbb90712973"/>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56c15082-68cd-4d12-9020-820701b9da0a"/>
    <ds:schemaRef ds:uri="http://www.w3.org/XML/1998/namespace"/>
    <ds:schemaRef ds:uri="http://purl.org/dc/dcmitype/"/>
  </ds:schemaRefs>
</ds:datastoreItem>
</file>

<file path=customXml/itemProps3.xml><?xml version="1.0" encoding="utf-8"?>
<ds:datastoreItem xmlns:ds="http://schemas.openxmlformats.org/officeDocument/2006/customXml" ds:itemID="{4AD317D1-D866-49B8-9530-69BDC3B23F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Davis (HR Staff)</dc:creator>
  <cp:keywords/>
  <dc:description/>
  <cp:lastModifiedBy>Elizabeth Murray</cp:lastModifiedBy>
  <cp:revision>3</cp:revision>
  <cp:lastPrinted>2019-03-15T16:21:00Z</cp:lastPrinted>
  <dcterms:created xsi:type="dcterms:W3CDTF">2020-04-21T13:07:00Z</dcterms:created>
  <dcterms:modified xsi:type="dcterms:W3CDTF">2020-04-21T13:14:00Z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0x01010056680254F78F9D4391303CE12DF34B52</vt:lpwstr>
  </property>
</Properties>
</file>