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3"/>
        <w:tblOverlap w:val="never"/>
        <w:tblW w:w="9839" w:type="dxa"/>
        <w:tblLayout w:type="fixed"/>
        <w:tblLook w:val="04A0" w:firstRow="1" w:lastRow="0" w:firstColumn="1" w:lastColumn="0" w:noHBand="0" w:noVBand="1"/>
      </w:tblPr>
      <w:tblGrid>
        <w:gridCol w:w="9839"/>
      </w:tblGrid>
      <w:tr w:rsidR="00D66EA5" w:rsidRPr="004D7652" w14:paraId="2504B08F" w14:textId="77777777" w:rsidTr="00CF7A46">
        <w:trPr>
          <w:trHeight w:val="415"/>
        </w:trPr>
        <w:tc>
          <w:tcPr>
            <w:tcW w:w="9839" w:type="dxa"/>
            <w:shd w:val="clear" w:color="auto" w:fill="9CC2E5" w:themeFill="accent1" w:themeFillTint="99"/>
          </w:tcPr>
          <w:p w14:paraId="519D925C" w14:textId="77777777" w:rsidR="00D66EA5" w:rsidRPr="004D7652" w:rsidRDefault="00D66EA5" w:rsidP="00D66EA5">
            <w:pPr>
              <w:spacing w:before="34" w:line="360" w:lineRule="auto"/>
              <w:ind w:right="-20"/>
              <w:rPr>
                <w:rFonts w:eastAsia="Gill Sans MT" w:cstheme="minorHAnsi"/>
                <w:b/>
                <w:color w:val="0070C0"/>
                <w:spacing w:val="3"/>
                <w:sz w:val="24"/>
              </w:rPr>
            </w:pPr>
            <w:r w:rsidRPr="004D7652">
              <w:rPr>
                <w:rFonts w:eastAsia="Gill Sans MT" w:cstheme="minorHAnsi"/>
                <w:b/>
                <w:spacing w:val="3"/>
                <w:sz w:val="24"/>
              </w:rPr>
              <w:t xml:space="preserve">1. </w:t>
            </w:r>
            <w:r>
              <w:rPr>
                <w:rFonts w:eastAsia="Gill Sans MT" w:cstheme="minorHAnsi"/>
                <w:b/>
                <w:spacing w:val="3"/>
                <w:sz w:val="24"/>
              </w:rPr>
              <w:t>The Review process</w:t>
            </w:r>
            <w:r w:rsidRPr="004D7652">
              <w:rPr>
                <w:rFonts w:eastAsia="Gill Sans MT" w:cstheme="minorHAnsi"/>
                <w:b/>
                <w:spacing w:val="3"/>
                <w:sz w:val="24"/>
              </w:rPr>
              <w:t xml:space="preserve"> </w:t>
            </w:r>
          </w:p>
        </w:tc>
      </w:tr>
      <w:tr w:rsidR="00D66EA5" w:rsidRPr="005237C1" w14:paraId="39F7BED5" w14:textId="77777777" w:rsidTr="00CF7A46">
        <w:trPr>
          <w:trHeight w:val="1912"/>
        </w:trPr>
        <w:tc>
          <w:tcPr>
            <w:tcW w:w="9839" w:type="dxa"/>
          </w:tcPr>
          <w:p w14:paraId="3FF62F52" w14:textId="281C4395" w:rsidR="00D66EA5" w:rsidRPr="00DD4BFE" w:rsidRDefault="00D66EA5" w:rsidP="00D66EA5">
            <w:pPr>
              <w:ind w:right="-23"/>
              <w:rPr>
                <w:rFonts w:eastAsia="Gill Sans MT" w:cstheme="minorHAnsi"/>
                <w:spacing w:val="3"/>
                <w:szCs w:val="22"/>
              </w:rPr>
            </w:pPr>
            <w:r w:rsidRPr="00DD4BFE">
              <w:rPr>
                <w:rFonts w:eastAsia="Gill Sans MT" w:cstheme="minorHAnsi"/>
                <w:spacing w:val="3"/>
                <w:szCs w:val="22"/>
              </w:rPr>
              <w:t xml:space="preserve">You will be provided with </w:t>
            </w:r>
            <w:r w:rsidR="000428A7">
              <w:rPr>
                <w:rFonts w:eastAsia="Gill Sans MT" w:cstheme="minorHAnsi"/>
                <w:spacing w:val="3"/>
                <w:szCs w:val="22"/>
              </w:rPr>
              <w:t>no more than</w:t>
            </w:r>
            <w:r w:rsidRPr="00DD4BFE">
              <w:rPr>
                <w:rFonts w:eastAsia="Gill Sans MT" w:cstheme="minorHAnsi"/>
                <w:spacing w:val="3"/>
                <w:szCs w:val="22"/>
              </w:rPr>
              <w:t xml:space="preserve"> three applications to </w:t>
            </w:r>
            <w:r w:rsidR="00CF7A46">
              <w:rPr>
                <w:rFonts w:eastAsia="Gill Sans MT" w:cstheme="minorHAnsi"/>
                <w:spacing w:val="3"/>
                <w:szCs w:val="22"/>
              </w:rPr>
              <w:t>review</w:t>
            </w:r>
            <w:r w:rsidRPr="00DD4BFE">
              <w:rPr>
                <w:rFonts w:eastAsia="Gill Sans MT" w:cstheme="minorHAnsi"/>
                <w:spacing w:val="3"/>
                <w:szCs w:val="22"/>
              </w:rPr>
              <w:t xml:space="preserve"> and be allocated to a Panel; for D</w:t>
            </w:r>
            <w:r w:rsidR="00DB274B">
              <w:rPr>
                <w:rFonts w:eastAsia="Gill Sans MT" w:cstheme="minorHAnsi"/>
                <w:spacing w:val="3"/>
                <w:szCs w:val="22"/>
              </w:rPr>
              <w:t>3</w:t>
            </w:r>
            <w:r w:rsidRPr="00DD4BFE">
              <w:rPr>
                <w:rFonts w:eastAsia="Gill Sans MT" w:cstheme="minorHAnsi"/>
                <w:spacing w:val="3"/>
                <w:szCs w:val="22"/>
              </w:rPr>
              <w:t xml:space="preserve">, this will be with </w:t>
            </w:r>
            <w:r w:rsidR="00DB274B">
              <w:rPr>
                <w:rFonts w:eastAsia="Gill Sans MT" w:cstheme="minorHAnsi"/>
                <w:spacing w:val="3"/>
                <w:szCs w:val="22"/>
              </w:rPr>
              <w:t>two</w:t>
            </w:r>
            <w:r w:rsidRPr="00DD4BFE">
              <w:rPr>
                <w:rFonts w:eastAsia="Gill Sans MT" w:cstheme="minorHAnsi"/>
                <w:spacing w:val="3"/>
                <w:szCs w:val="22"/>
              </w:rPr>
              <w:t xml:space="preserve"> colleague</w:t>
            </w:r>
            <w:r w:rsidR="00DB274B">
              <w:rPr>
                <w:rFonts w:eastAsia="Gill Sans MT" w:cstheme="minorHAnsi"/>
                <w:spacing w:val="3"/>
                <w:szCs w:val="22"/>
              </w:rPr>
              <w:t>s</w:t>
            </w:r>
            <w:r w:rsidR="000428A7">
              <w:rPr>
                <w:rFonts w:eastAsia="Gill Sans MT" w:cstheme="minorHAnsi"/>
                <w:spacing w:val="3"/>
                <w:szCs w:val="22"/>
              </w:rPr>
              <w:t xml:space="preserve">, although </w:t>
            </w:r>
            <w:r w:rsidRPr="00DD4BFE">
              <w:rPr>
                <w:rFonts w:eastAsia="Gill Sans MT" w:cstheme="minorHAnsi"/>
                <w:spacing w:val="3"/>
                <w:szCs w:val="22"/>
              </w:rPr>
              <w:t xml:space="preserve">others may participate for </w:t>
            </w:r>
            <w:r w:rsidR="00A14DC9" w:rsidRPr="00DD4BFE">
              <w:rPr>
                <w:rFonts w:eastAsia="Gill Sans MT" w:cstheme="minorHAnsi"/>
                <w:spacing w:val="3"/>
                <w:szCs w:val="22"/>
              </w:rPr>
              <w:t xml:space="preserve">quality assurance </w:t>
            </w:r>
            <w:r w:rsidRPr="00DD4BFE">
              <w:rPr>
                <w:rFonts w:eastAsia="Gill Sans MT" w:cstheme="minorHAnsi"/>
                <w:spacing w:val="3"/>
                <w:szCs w:val="22"/>
              </w:rPr>
              <w:t>purposes.</w:t>
            </w:r>
          </w:p>
          <w:p w14:paraId="628240AB" w14:textId="551368AF" w:rsidR="008A0DF5" w:rsidRPr="00DD4BFE" w:rsidRDefault="00D66EA5" w:rsidP="00CF7A46">
            <w:pPr>
              <w:ind w:right="-23"/>
              <w:rPr>
                <w:rFonts w:eastAsia="Gill Sans MT" w:cstheme="minorHAnsi"/>
                <w:spacing w:val="3"/>
                <w:szCs w:val="22"/>
              </w:rPr>
            </w:pPr>
            <w:r w:rsidRPr="00DD4BFE">
              <w:rPr>
                <w:rFonts w:eastAsia="Gill Sans MT" w:cstheme="minorHAnsi"/>
                <w:spacing w:val="3"/>
                <w:szCs w:val="22"/>
              </w:rPr>
              <w:t>You should firstly independently assess the application, considering the Areas of Activity, Core Knowledge and Professional Values, as appropriate for this category</w:t>
            </w:r>
            <w:r w:rsidR="001F5B0F" w:rsidRPr="00DD4BFE">
              <w:rPr>
                <w:rFonts w:eastAsia="Gill Sans MT" w:cstheme="minorHAnsi"/>
                <w:spacing w:val="3"/>
                <w:szCs w:val="22"/>
              </w:rPr>
              <w:t xml:space="preserve">, as set out </w:t>
            </w:r>
            <w:r w:rsidR="00361771" w:rsidRPr="00DD4BFE">
              <w:rPr>
                <w:rFonts w:eastAsia="Gill Sans MT" w:cstheme="minorHAnsi"/>
                <w:spacing w:val="3"/>
                <w:szCs w:val="22"/>
              </w:rPr>
              <w:t>overleaf</w:t>
            </w:r>
            <w:r w:rsidR="00CF7A46">
              <w:rPr>
                <w:rFonts w:eastAsia="Gill Sans MT" w:cstheme="minorHAnsi"/>
                <w:spacing w:val="3"/>
                <w:szCs w:val="22"/>
              </w:rPr>
              <w:t xml:space="preserve"> and considering the guidance below</w:t>
            </w:r>
            <w:r w:rsidRPr="00DD4BFE">
              <w:rPr>
                <w:rFonts w:eastAsia="Gill Sans MT" w:cstheme="minorHAnsi"/>
                <w:spacing w:val="3"/>
                <w:szCs w:val="22"/>
              </w:rPr>
              <w:t xml:space="preserve">. </w:t>
            </w:r>
            <w:r w:rsidR="001F5B0F" w:rsidRPr="00DD4BFE">
              <w:rPr>
                <w:rFonts w:eastAsia="Gill Sans MT" w:cstheme="minorHAnsi"/>
                <w:spacing w:val="3"/>
                <w:szCs w:val="22"/>
              </w:rPr>
              <w:t xml:space="preserve">Using the Review form, select Award, </w:t>
            </w:r>
            <w:r w:rsidR="00A14DC9" w:rsidRPr="00DD4BFE">
              <w:rPr>
                <w:rFonts w:eastAsia="Gill Sans MT" w:cstheme="minorHAnsi"/>
                <w:spacing w:val="3"/>
                <w:szCs w:val="22"/>
              </w:rPr>
              <w:t>Award Pending Condition (</w:t>
            </w:r>
            <w:r w:rsidR="001F5B0F" w:rsidRPr="00DD4BFE">
              <w:rPr>
                <w:rFonts w:eastAsia="Gill Sans MT" w:cstheme="minorHAnsi"/>
                <w:spacing w:val="3"/>
                <w:szCs w:val="22"/>
              </w:rPr>
              <w:t>APC</w:t>
            </w:r>
            <w:r w:rsidR="00A14DC9" w:rsidRPr="00DD4BFE">
              <w:rPr>
                <w:rFonts w:eastAsia="Gill Sans MT" w:cstheme="minorHAnsi"/>
                <w:spacing w:val="3"/>
                <w:szCs w:val="22"/>
              </w:rPr>
              <w:t>)</w:t>
            </w:r>
            <w:r w:rsidR="001F5B0F" w:rsidRPr="00DD4BFE">
              <w:rPr>
                <w:rFonts w:eastAsia="Gill Sans MT" w:cstheme="minorHAnsi"/>
                <w:spacing w:val="3"/>
                <w:szCs w:val="22"/>
              </w:rPr>
              <w:t xml:space="preserve"> or Refer for each Descriptor and, considering all of the Descriptors </w:t>
            </w:r>
            <w:r w:rsidR="00A14DC9" w:rsidRPr="00DD4BFE">
              <w:rPr>
                <w:rFonts w:eastAsia="Gill Sans MT" w:cstheme="minorHAnsi"/>
                <w:spacing w:val="3"/>
                <w:szCs w:val="22"/>
              </w:rPr>
              <w:t>together</w:t>
            </w:r>
            <w:r w:rsidR="001F5B0F" w:rsidRPr="00DD4BFE">
              <w:rPr>
                <w:rFonts w:eastAsia="Gill Sans MT" w:cstheme="minorHAnsi"/>
                <w:spacing w:val="3"/>
                <w:szCs w:val="22"/>
              </w:rPr>
              <w:t>, select an overall decision. You may</w:t>
            </w:r>
            <w:r w:rsidR="00A14DC9" w:rsidRPr="00DD4BFE">
              <w:rPr>
                <w:rFonts w:eastAsia="Gill Sans MT" w:cstheme="minorHAnsi"/>
                <w:spacing w:val="3"/>
                <w:szCs w:val="22"/>
              </w:rPr>
              <w:t xml:space="preserve"> also </w:t>
            </w:r>
            <w:r w:rsidR="001F5B0F" w:rsidRPr="00DD4BFE">
              <w:rPr>
                <w:rFonts w:eastAsia="Gill Sans MT" w:cstheme="minorHAnsi"/>
                <w:spacing w:val="3"/>
                <w:szCs w:val="22"/>
              </w:rPr>
              <w:t>wish to make your own notes on why you have reached this decision, to discuss with Panel members.</w:t>
            </w:r>
          </w:p>
        </w:tc>
      </w:tr>
      <w:tr w:rsidR="00D66EA5" w:rsidRPr="005237C1" w14:paraId="4A0B0FEA" w14:textId="77777777" w:rsidTr="00CF7A46">
        <w:trPr>
          <w:trHeight w:val="1973"/>
        </w:trPr>
        <w:tc>
          <w:tcPr>
            <w:tcW w:w="9839" w:type="dxa"/>
          </w:tcPr>
          <w:p w14:paraId="7060BBA1" w14:textId="1DEC24C3" w:rsidR="008A0DF5" w:rsidRPr="00DD4BFE" w:rsidRDefault="001F5B0F" w:rsidP="00DB274B">
            <w:pPr>
              <w:spacing w:before="34"/>
              <w:ind w:right="-23"/>
              <w:rPr>
                <w:rFonts w:cstheme="minorHAnsi"/>
                <w:color w:val="231F20"/>
                <w:szCs w:val="22"/>
                <w:lang w:eastAsia="en-GB"/>
              </w:rPr>
            </w:pPr>
            <w:r w:rsidRPr="00DD4BFE">
              <w:rPr>
                <w:rFonts w:eastAsia="Gill Sans MT" w:cstheme="minorHAnsi"/>
                <w:spacing w:val="3"/>
                <w:szCs w:val="22"/>
              </w:rPr>
              <w:t xml:space="preserve">One </w:t>
            </w:r>
            <w:r w:rsidR="00D66EA5" w:rsidRPr="00DD4BFE">
              <w:rPr>
                <w:rFonts w:eastAsia="Gill Sans MT" w:cstheme="minorHAnsi"/>
                <w:spacing w:val="3"/>
                <w:szCs w:val="22"/>
              </w:rPr>
              <w:t xml:space="preserve">colleague </w:t>
            </w:r>
            <w:r w:rsidRPr="00DD4BFE">
              <w:rPr>
                <w:rFonts w:eastAsia="Gill Sans MT" w:cstheme="minorHAnsi"/>
                <w:spacing w:val="3"/>
                <w:szCs w:val="22"/>
              </w:rPr>
              <w:t xml:space="preserve">will </w:t>
            </w:r>
            <w:r w:rsidR="00A14DC9" w:rsidRPr="00DD4BFE">
              <w:rPr>
                <w:rFonts w:eastAsia="Gill Sans MT" w:cstheme="minorHAnsi"/>
                <w:spacing w:val="3"/>
                <w:szCs w:val="22"/>
              </w:rPr>
              <w:t xml:space="preserve">act </w:t>
            </w:r>
            <w:r w:rsidR="00D66EA5" w:rsidRPr="00DD4BFE">
              <w:rPr>
                <w:rFonts w:eastAsia="Gill Sans MT" w:cstheme="minorHAnsi"/>
                <w:spacing w:val="3"/>
                <w:szCs w:val="22"/>
              </w:rPr>
              <w:t xml:space="preserve">as Lead Reviewer </w:t>
            </w:r>
            <w:r w:rsidR="00A14DC9" w:rsidRPr="00DD4BFE">
              <w:rPr>
                <w:rFonts w:eastAsia="Gill Sans MT" w:cstheme="minorHAnsi"/>
                <w:spacing w:val="3"/>
                <w:szCs w:val="22"/>
              </w:rPr>
              <w:t xml:space="preserve">for the Panel </w:t>
            </w:r>
            <w:r w:rsidRPr="00DD4BFE">
              <w:rPr>
                <w:rFonts w:eastAsia="Gill Sans MT" w:cstheme="minorHAnsi"/>
                <w:spacing w:val="3"/>
                <w:szCs w:val="22"/>
              </w:rPr>
              <w:t xml:space="preserve">and </w:t>
            </w:r>
            <w:r w:rsidR="00A14DC9" w:rsidRPr="00DD4BFE">
              <w:rPr>
                <w:rFonts w:eastAsia="Gill Sans MT" w:cstheme="minorHAnsi"/>
                <w:spacing w:val="3"/>
                <w:szCs w:val="22"/>
              </w:rPr>
              <w:t>is</w:t>
            </w:r>
            <w:r w:rsidRPr="00DD4BFE">
              <w:rPr>
                <w:rFonts w:eastAsia="Gill Sans MT" w:cstheme="minorHAnsi"/>
                <w:spacing w:val="3"/>
                <w:szCs w:val="22"/>
              </w:rPr>
              <w:t xml:space="preserve"> responsible for arranging </w:t>
            </w:r>
            <w:r w:rsidR="00A14DC9" w:rsidRPr="00DD4BFE">
              <w:rPr>
                <w:rFonts w:eastAsia="Gill Sans MT" w:cstheme="minorHAnsi"/>
                <w:spacing w:val="3"/>
                <w:szCs w:val="22"/>
              </w:rPr>
              <w:t xml:space="preserve">and facilitating </w:t>
            </w:r>
            <w:r w:rsidRPr="00DD4BFE">
              <w:rPr>
                <w:rFonts w:eastAsia="Gill Sans MT" w:cstheme="minorHAnsi"/>
                <w:spacing w:val="3"/>
                <w:szCs w:val="22"/>
              </w:rPr>
              <w:t>any discussion</w:t>
            </w:r>
            <w:r w:rsidR="000428A7">
              <w:rPr>
                <w:rFonts w:eastAsia="Gill Sans MT" w:cstheme="minorHAnsi"/>
                <w:spacing w:val="3"/>
                <w:szCs w:val="22"/>
              </w:rPr>
              <w:t xml:space="preserve">s about </w:t>
            </w:r>
            <w:r w:rsidR="000428A7" w:rsidRPr="00DD4BFE">
              <w:rPr>
                <w:rFonts w:eastAsia="Gill Sans MT" w:cstheme="minorHAnsi"/>
                <w:spacing w:val="3"/>
                <w:szCs w:val="22"/>
              </w:rPr>
              <w:t xml:space="preserve">the application </w:t>
            </w:r>
            <w:r w:rsidRPr="00DD4BFE">
              <w:rPr>
                <w:rFonts w:eastAsia="Gill Sans MT" w:cstheme="minorHAnsi"/>
                <w:spacing w:val="3"/>
                <w:szCs w:val="22"/>
              </w:rPr>
              <w:t>(face-to-face, email, phone-call)</w:t>
            </w:r>
            <w:r w:rsidR="00A14DC9" w:rsidRPr="00DD4BFE">
              <w:rPr>
                <w:rFonts w:eastAsia="Gill Sans MT" w:cstheme="minorHAnsi"/>
                <w:spacing w:val="3"/>
                <w:szCs w:val="22"/>
              </w:rPr>
              <w:t xml:space="preserve">. The </w:t>
            </w:r>
            <w:r w:rsidRPr="00DD4BFE">
              <w:rPr>
                <w:rFonts w:eastAsia="Gill Sans MT" w:cstheme="minorHAnsi"/>
                <w:spacing w:val="3"/>
                <w:szCs w:val="22"/>
              </w:rPr>
              <w:t xml:space="preserve">Panel </w:t>
            </w:r>
            <w:r w:rsidR="00A14DC9" w:rsidRPr="00DD4BFE">
              <w:rPr>
                <w:rFonts w:eastAsia="Gill Sans MT" w:cstheme="minorHAnsi"/>
                <w:spacing w:val="3"/>
                <w:szCs w:val="22"/>
              </w:rPr>
              <w:t xml:space="preserve">should </w:t>
            </w:r>
            <w:r w:rsidRPr="00DD4BFE">
              <w:rPr>
                <w:rFonts w:eastAsia="Gill Sans MT" w:cstheme="minorHAnsi"/>
                <w:spacing w:val="3"/>
                <w:szCs w:val="22"/>
              </w:rPr>
              <w:t>agree an overall decision</w:t>
            </w:r>
            <w:r w:rsidR="00A14DC9" w:rsidRPr="00DD4BFE">
              <w:rPr>
                <w:rFonts w:eastAsia="Gill Sans MT" w:cstheme="minorHAnsi"/>
                <w:spacing w:val="3"/>
                <w:szCs w:val="22"/>
              </w:rPr>
              <w:t>; if the Panel is unable to agree a decision, the Lead Reviewer will raise this with EDS, stating the area</w:t>
            </w:r>
            <w:r w:rsidR="00590162">
              <w:rPr>
                <w:rFonts w:eastAsia="Gill Sans MT" w:cstheme="minorHAnsi"/>
                <w:spacing w:val="3"/>
                <w:szCs w:val="22"/>
              </w:rPr>
              <w:t>(</w:t>
            </w:r>
            <w:r w:rsidR="00A14DC9" w:rsidRPr="00DD4BFE">
              <w:rPr>
                <w:rFonts w:eastAsia="Gill Sans MT" w:cstheme="minorHAnsi"/>
                <w:spacing w:val="3"/>
                <w:szCs w:val="22"/>
              </w:rPr>
              <w:t>s</w:t>
            </w:r>
            <w:r w:rsidR="00590162">
              <w:rPr>
                <w:rFonts w:eastAsia="Gill Sans MT" w:cstheme="minorHAnsi"/>
                <w:spacing w:val="3"/>
                <w:szCs w:val="22"/>
              </w:rPr>
              <w:t>)</w:t>
            </w:r>
            <w:r w:rsidR="00A14DC9" w:rsidRPr="00DD4BFE">
              <w:rPr>
                <w:rFonts w:eastAsia="Gill Sans MT" w:cstheme="minorHAnsi"/>
                <w:spacing w:val="3"/>
                <w:szCs w:val="22"/>
              </w:rPr>
              <w:t xml:space="preserve"> of concern. The Convenor will discuss the application with EDS colleagues, reach a decision and advise the Panel of this. </w:t>
            </w:r>
            <w:r w:rsidRPr="00DD4BFE">
              <w:rPr>
                <w:rFonts w:eastAsia="Gill Sans MT" w:cstheme="minorHAnsi"/>
                <w:spacing w:val="3"/>
                <w:szCs w:val="22"/>
              </w:rPr>
              <w:t>The Lead Reviewer will complete and return the Panel’s completed Review form to EDS, by the required date, and this should include any comments</w:t>
            </w:r>
            <w:r w:rsidR="000428A7">
              <w:rPr>
                <w:rFonts w:eastAsia="Gill Sans MT" w:cstheme="minorHAnsi"/>
                <w:spacing w:val="3"/>
                <w:szCs w:val="22"/>
              </w:rPr>
              <w:t>/feedback</w:t>
            </w:r>
            <w:r w:rsidRPr="00DD4BFE">
              <w:rPr>
                <w:rFonts w:eastAsia="Gill Sans MT" w:cstheme="minorHAnsi"/>
                <w:spacing w:val="3"/>
                <w:szCs w:val="22"/>
              </w:rPr>
              <w:t xml:space="preserve"> for the candidate</w:t>
            </w:r>
            <w:r w:rsidR="00590162">
              <w:rPr>
                <w:rFonts w:eastAsia="Gill Sans MT" w:cstheme="minorHAnsi"/>
                <w:spacing w:val="3"/>
                <w:szCs w:val="22"/>
              </w:rPr>
              <w:t xml:space="preserve"> that </w:t>
            </w:r>
            <w:r w:rsidRPr="00DD4BFE">
              <w:rPr>
                <w:rFonts w:eastAsia="Gill Sans MT" w:cstheme="minorHAnsi"/>
                <w:spacing w:val="3"/>
                <w:szCs w:val="22"/>
              </w:rPr>
              <w:t>the Panel have agreed on</w:t>
            </w:r>
            <w:r w:rsidR="00A14DC9" w:rsidRPr="00DD4BFE">
              <w:rPr>
                <w:rFonts w:eastAsia="Gill Sans MT" w:cstheme="minorHAnsi"/>
                <w:spacing w:val="3"/>
                <w:szCs w:val="22"/>
              </w:rPr>
              <w:t>.</w:t>
            </w:r>
          </w:p>
        </w:tc>
      </w:tr>
      <w:tr w:rsidR="00D66EA5" w:rsidRPr="005237C1" w14:paraId="18018943" w14:textId="77777777" w:rsidTr="00CF7A46">
        <w:trPr>
          <w:trHeight w:val="1986"/>
        </w:trPr>
        <w:tc>
          <w:tcPr>
            <w:tcW w:w="9839" w:type="dxa"/>
          </w:tcPr>
          <w:p w14:paraId="256E6ABD" w14:textId="310911D0" w:rsidR="008A0DF5" w:rsidRPr="00DD4BFE" w:rsidRDefault="001F5B0F" w:rsidP="00DB274B">
            <w:pPr>
              <w:spacing w:before="34"/>
              <w:ind w:right="-23"/>
              <w:rPr>
                <w:rFonts w:cstheme="minorHAnsi"/>
                <w:color w:val="231F20"/>
                <w:szCs w:val="22"/>
                <w:lang w:eastAsia="en-GB"/>
              </w:rPr>
            </w:pPr>
            <w:r w:rsidRPr="00DD4BFE">
              <w:rPr>
                <w:rFonts w:cstheme="minorHAnsi"/>
                <w:color w:val="231F20"/>
                <w:szCs w:val="22"/>
                <w:lang w:eastAsia="en-GB"/>
              </w:rPr>
              <w:t>Whether a</w:t>
            </w:r>
            <w:r w:rsidR="000D54B3" w:rsidRPr="00DD4BFE">
              <w:rPr>
                <w:rFonts w:cstheme="minorHAnsi"/>
                <w:color w:val="231F20"/>
                <w:szCs w:val="22"/>
                <w:lang w:eastAsia="en-GB"/>
              </w:rPr>
              <w:t>s a</w:t>
            </w:r>
            <w:r w:rsidRPr="00DD4BFE">
              <w:rPr>
                <w:rFonts w:cstheme="minorHAnsi"/>
                <w:color w:val="231F20"/>
                <w:szCs w:val="22"/>
                <w:lang w:eastAsia="en-GB"/>
              </w:rPr>
              <w:t xml:space="preserve"> Lead reviewer or Panel member, your feedback on the </w:t>
            </w:r>
            <w:r w:rsidR="00590162">
              <w:rPr>
                <w:rFonts w:cstheme="minorHAnsi"/>
                <w:color w:val="231F20"/>
                <w:szCs w:val="22"/>
                <w:lang w:eastAsia="en-GB"/>
              </w:rPr>
              <w:t xml:space="preserve">review </w:t>
            </w:r>
            <w:r w:rsidRPr="00DD4BFE">
              <w:rPr>
                <w:rFonts w:cstheme="minorHAnsi"/>
                <w:color w:val="231F20"/>
                <w:szCs w:val="22"/>
                <w:lang w:eastAsia="en-GB"/>
              </w:rPr>
              <w:t xml:space="preserve">process, </w:t>
            </w:r>
            <w:r w:rsidR="000428A7">
              <w:rPr>
                <w:rFonts w:cstheme="minorHAnsi"/>
                <w:color w:val="231F20"/>
                <w:szCs w:val="22"/>
                <w:lang w:eastAsia="en-GB"/>
              </w:rPr>
              <w:t xml:space="preserve">the </w:t>
            </w:r>
            <w:r w:rsidR="000428A7" w:rsidRPr="00DD4BFE">
              <w:rPr>
                <w:rFonts w:cstheme="minorHAnsi"/>
                <w:color w:val="231F20"/>
                <w:szCs w:val="22"/>
                <w:lang w:eastAsia="en-GB"/>
              </w:rPr>
              <w:t xml:space="preserve">overall </w:t>
            </w:r>
            <w:r w:rsidR="000428A7">
              <w:rPr>
                <w:rFonts w:cstheme="minorHAnsi"/>
                <w:color w:val="231F20"/>
                <w:szCs w:val="22"/>
                <w:lang w:eastAsia="en-GB"/>
              </w:rPr>
              <w:t xml:space="preserve">standard of </w:t>
            </w:r>
            <w:r w:rsidR="000D54B3" w:rsidRPr="00DD4BFE">
              <w:rPr>
                <w:rFonts w:cstheme="minorHAnsi"/>
                <w:color w:val="231F20"/>
                <w:szCs w:val="22"/>
                <w:lang w:eastAsia="en-GB"/>
              </w:rPr>
              <w:t>applications</w:t>
            </w:r>
            <w:r w:rsidRPr="00DD4BFE">
              <w:rPr>
                <w:rFonts w:cstheme="minorHAnsi"/>
                <w:color w:val="231F20"/>
                <w:szCs w:val="22"/>
                <w:lang w:eastAsia="en-GB"/>
              </w:rPr>
              <w:t xml:space="preserve"> or </w:t>
            </w:r>
            <w:r w:rsidR="000428A7">
              <w:rPr>
                <w:rFonts w:cstheme="minorHAnsi"/>
                <w:color w:val="231F20"/>
                <w:szCs w:val="22"/>
                <w:lang w:eastAsia="en-GB"/>
              </w:rPr>
              <w:t xml:space="preserve">any </w:t>
            </w:r>
            <w:r w:rsidRPr="00DD4BFE">
              <w:rPr>
                <w:rFonts w:cstheme="minorHAnsi"/>
                <w:color w:val="231F20"/>
                <w:szCs w:val="22"/>
                <w:lang w:eastAsia="en-GB"/>
              </w:rPr>
              <w:t xml:space="preserve">suggestions for enhancement to the PSF scheme </w:t>
            </w:r>
            <w:r w:rsidR="003E1700">
              <w:rPr>
                <w:rFonts w:cstheme="minorHAnsi"/>
                <w:color w:val="231F20"/>
                <w:szCs w:val="22"/>
                <w:lang w:eastAsia="en-GB"/>
              </w:rPr>
              <w:t>is</w:t>
            </w:r>
            <w:r w:rsidRPr="00DD4BFE">
              <w:rPr>
                <w:rFonts w:cstheme="minorHAnsi"/>
                <w:color w:val="231F20"/>
                <w:szCs w:val="22"/>
                <w:lang w:eastAsia="en-GB"/>
              </w:rPr>
              <w:t xml:space="preserve"> always welcome</w:t>
            </w:r>
            <w:r w:rsidR="000D54B3" w:rsidRPr="00DD4BFE">
              <w:rPr>
                <w:rFonts w:cstheme="minorHAnsi"/>
                <w:color w:val="231F20"/>
                <w:szCs w:val="22"/>
                <w:lang w:eastAsia="en-GB"/>
              </w:rPr>
              <w:t xml:space="preserve"> and will be taken forward to our Advisory Board, which meets twice </w:t>
            </w:r>
            <w:r w:rsidR="00A14DC9" w:rsidRPr="00DD4BFE">
              <w:rPr>
                <w:rFonts w:cstheme="minorHAnsi"/>
                <w:color w:val="231F20"/>
                <w:szCs w:val="22"/>
                <w:lang w:eastAsia="en-GB"/>
              </w:rPr>
              <w:t>each</w:t>
            </w:r>
            <w:r w:rsidR="000D54B3" w:rsidRPr="00DD4BFE">
              <w:rPr>
                <w:rFonts w:cstheme="minorHAnsi"/>
                <w:color w:val="231F20"/>
                <w:szCs w:val="22"/>
                <w:lang w:eastAsia="en-GB"/>
              </w:rPr>
              <w:t xml:space="preserve"> year.</w:t>
            </w:r>
            <w:r w:rsidRPr="00DD4BFE">
              <w:rPr>
                <w:rFonts w:cstheme="minorHAnsi"/>
                <w:color w:val="231F20"/>
                <w:szCs w:val="22"/>
                <w:lang w:eastAsia="en-GB"/>
              </w:rPr>
              <w:t xml:space="preserve"> </w:t>
            </w:r>
            <w:r w:rsidR="000D54B3" w:rsidRPr="00DD4BFE">
              <w:rPr>
                <w:rFonts w:cstheme="minorHAnsi"/>
                <w:color w:val="231F20"/>
                <w:szCs w:val="22"/>
                <w:lang w:eastAsia="en-GB"/>
              </w:rPr>
              <w:t xml:space="preserve">You may pass </w:t>
            </w:r>
            <w:r w:rsidR="00590162">
              <w:rPr>
                <w:rFonts w:cstheme="minorHAnsi"/>
                <w:color w:val="231F20"/>
                <w:szCs w:val="22"/>
                <w:lang w:eastAsia="en-GB"/>
              </w:rPr>
              <w:t xml:space="preserve">any </w:t>
            </w:r>
            <w:r w:rsidR="000D54B3" w:rsidRPr="00DD4BFE">
              <w:rPr>
                <w:rFonts w:cstheme="minorHAnsi"/>
                <w:color w:val="231F20"/>
                <w:szCs w:val="22"/>
                <w:lang w:eastAsia="en-GB"/>
              </w:rPr>
              <w:t xml:space="preserve">comments to the Lead Reviewer, who can return with the completed Review forms, or do contact us directly at </w:t>
            </w:r>
            <w:hyperlink r:id="rId7" w:history="1">
              <w:r w:rsidR="000D54B3" w:rsidRPr="00DD4BFE">
                <w:rPr>
                  <w:rStyle w:val="Hyperlink"/>
                  <w:rFonts w:cstheme="minorHAnsi"/>
                  <w:szCs w:val="22"/>
                  <w:lang w:eastAsia="en-GB"/>
                </w:rPr>
                <w:t>psf@bcu.ac.uk</w:t>
              </w:r>
            </w:hyperlink>
            <w:r w:rsidR="000D54B3" w:rsidRPr="00DD4BFE">
              <w:rPr>
                <w:rFonts w:cstheme="minorHAnsi"/>
                <w:color w:val="231F20"/>
                <w:szCs w:val="22"/>
                <w:lang w:eastAsia="en-GB"/>
              </w:rPr>
              <w:t xml:space="preserve">. </w:t>
            </w:r>
            <w:r w:rsidRPr="00DD4BFE">
              <w:rPr>
                <w:rFonts w:cstheme="minorHAnsi"/>
                <w:color w:val="231F20"/>
                <w:szCs w:val="22"/>
                <w:lang w:eastAsia="en-GB"/>
              </w:rPr>
              <w:t xml:space="preserve">If </w:t>
            </w:r>
            <w:r w:rsidR="000D54B3" w:rsidRPr="00DD4BFE">
              <w:rPr>
                <w:rFonts w:cstheme="minorHAnsi"/>
                <w:color w:val="231F20"/>
                <w:szCs w:val="22"/>
                <w:lang w:eastAsia="en-GB"/>
              </w:rPr>
              <w:t>you would like to attend the Advisory Board, do let us know. It would be useful if you could highlight any application, or part of an application, that is seen as excellent, in order that we can liaise with the applicant for potential future use of their application</w:t>
            </w:r>
            <w:r w:rsidR="00590162" w:rsidRPr="00DD4BFE">
              <w:rPr>
                <w:rFonts w:cstheme="minorHAnsi"/>
                <w:color w:val="231F20"/>
                <w:szCs w:val="22"/>
                <w:lang w:eastAsia="en-GB"/>
              </w:rPr>
              <w:t xml:space="preserve"> </w:t>
            </w:r>
            <w:r w:rsidR="00590162">
              <w:rPr>
                <w:rFonts w:cstheme="minorHAnsi"/>
                <w:color w:val="231F20"/>
                <w:szCs w:val="22"/>
                <w:lang w:eastAsia="en-GB"/>
              </w:rPr>
              <w:t xml:space="preserve">as an </w:t>
            </w:r>
            <w:r w:rsidR="00590162" w:rsidRPr="00DD4BFE">
              <w:rPr>
                <w:rFonts w:cstheme="minorHAnsi"/>
                <w:color w:val="231F20"/>
                <w:szCs w:val="22"/>
                <w:lang w:eastAsia="en-GB"/>
              </w:rPr>
              <w:t>example</w:t>
            </w:r>
            <w:r w:rsidR="00590162">
              <w:rPr>
                <w:rFonts w:cstheme="minorHAnsi"/>
                <w:color w:val="231F20"/>
                <w:szCs w:val="22"/>
                <w:lang w:eastAsia="en-GB"/>
              </w:rPr>
              <w:t xml:space="preserve"> for colleagues</w:t>
            </w:r>
            <w:r w:rsidR="000D54B3" w:rsidRPr="00DD4BFE">
              <w:rPr>
                <w:rFonts w:cstheme="minorHAnsi"/>
                <w:color w:val="231F20"/>
                <w:szCs w:val="22"/>
                <w:lang w:eastAsia="en-GB"/>
              </w:rPr>
              <w:t xml:space="preserve">. </w:t>
            </w:r>
          </w:p>
        </w:tc>
      </w:tr>
      <w:tr w:rsidR="00D66EA5" w:rsidRPr="005237C1" w14:paraId="07C77BB8" w14:textId="77777777" w:rsidTr="00CF7A46">
        <w:trPr>
          <w:trHeight w:val="2540"/>
        </w:trPr>
        <w:tc>
          <w:tcPr>
            <w:tcW w:w="9839" w:type="dxa"/>
          </w:tcPr>
          <w:p w14:paraId="6DA1B00E" w14:textId="5670FB9B" w:rsidR="00361771" w:rsidRPr="00DD4BFE" w:rsidRDefault="000D54B3" w:rsidP="00654F2A">
            <w:pPr>
              <w:spacing w:before="34"/>
              <w:ind w:right="-23"/>
              <w:rPr>
                <w:rFonts w:eastAsia="Gill Sans MT" w:cstheme="minorHAnsi"/>
                <w:spacing w:val="3"/>
                <w:szCs w:val="22"/>
              </w:rPr>
            </w:pPr>
            <w:r w:rsidRPr="00DD4BFE">
              <w:rPr>
                <w:rFonts w:eastAsia="Gill Sans MT" w:cstheme="minorHAnsi"/>
                <w:spacing w:val="3"/>
                <w:szCs w:val="22"/>
              </w:rPr>
              <w:t xml:space="preserve">EDS will advise candidates of the Panel’s decision and </w:t>
            </w:r>
            <w:r w:rsidR="00A14DC9" w:rsidRPr="00DD4BFE">
              <w:rPr>
                <w:rFonts w:eastAsia="Gill Sans MT" w:cstheme="minorHAnsi"/>
                <w:spacing w:val="3"/>
                <w:szCs w:val="22"/>
              </w:rPr>
              <w:t xml:space="preserve">attach the completed Review form. </w:t>
            </w:r>
            <w:r w:rsidRPr="00DD4BFE">
              <w:rPr>
                <w:rFonts w:eastAsia="Gill Sans MT" w:cstheme="minorHAnsi"/>
                <w:spacing w:val="3"/>
                <w:szCs w:val="22"/>
              </w:rPr>
              <w:t xml:space="preserve">If the decision is APC, the applicant will be advised to review the </w:t>
            </w:r>
            <w:r w:rsidR="00A14DC9" w:rsidRPr="00DD4BFE">
              <w:rPr>
                <w:rFonts w:eastAsia="Gill Sans MT" w:cstheme="minorHAnsi"/>
                <w:spacing w:val="3"/>
                <w:szCs w:val="22"/>
              </w:rPr>
              <w:t xml:space="preserve">dimension(s) </w:t>
            </w:r>
            <w:r w:rsidR="00361771" w:rsidRPr="00DD4BFE">
              <w:rPr>
                <w:rFonts w:eastAsia="Gill Sans MT" w:cstheme="minorHAnsi"/>
                <w:spacing w:val="3"/>
                <w:szCs w:val="22"/>
              </w:rPr>
              <w:t xml:space="preserve">judged </w:t>
            </w:r>
            <w:r w:rsidR="00590162">
              <w:rPr>
                <w:rFonts w:eastAsia="Gill Sans MT" w:cstheme="minorHAnsi"/>
                <w:spacing w:val="3"/>
                <w:szCs w:val="22"/>
              </w:rPr>
              <w:t xml:space="preserve">as </w:t>
            </w:r>
            <w:r w:rsidR="00361771" w:rsidRPr="00DD4BFE">
              <w:rPr>
                <w:rFonts w:eastAsia="Gill Sans MT" w:cstheme="minorHAnsi"/>
                <w:spacing w:val="3"/>
                <w:szCs w:val="22"/>
              </w:rPr>
              <w:t xml:space="preserve">requiring more </w:t>
            </w:r>
            <w:r w:rsidR="00A14DC9" w:rsidRPr="00DD4BFE">
              <w:rPr>
                <w:rFonts w:eastAsia="Gill Sans MT" w:cstheme="minorHAnsi"/>
                <w:spacing w:val="3"/>
                <w:szCs w:val="22"/>
              </w:rPr>
              <w:t xml:space="preserve">evidence </w:t>
            </w:r>
            <w:r w:rsidR="00361771" w:rsidRPr="00DD4BFE">
              <w:rPr>
                <w:rFonts w:eastAsia="Gill Sans MT" w:cstheme="minorHAnsi"/>
                <w:spacing w:val="3"/>
                <w:szCs w:val="22"/>
              </w:rPr>
              <w:t xml:space="preserve">to achieve Award </w:t>
            </w:r>
            <w:r w:rsidR="00A14DC9" w:rsidRPr="00DD4BFE">
              <w:rPr>
                <w:rFonts w:eastAsia="Gill Sans MT" w:cstheme="minorHAnsi"/>
                <w:spacing w:val="3"/>
                <w:szCs w:val="22"/>
              </w:rPr>
              <w:t xml:space="preserve">and to </w:t>
            </w:r>
            <w:r w:rsidRPr="00DD4BFE">
              <w:rPr>
                <w:rFonts w:eastAsia="Gill Sans MT" w:cstheme="minorHAnsi"/>
                <w:spacing w:val="3"/>
                <w:szCs w:val="22"/>
              </w:rPr>
              <w:t xml:space="preserve">prepare for a professional dialogue with </w:t>
            </w:r>
            <w:r w:rsidR="00A14DC9" w:rsidRPr="00DD4BFE">
              <w:rPr>
                <w:rFonts w:eastAsia="Gill Sans MT" w:cstheme="minorHAnsi"/>
                <w:spacing w:val="3"/>
                <w:szCs w:val="22"/>
              </w:rPr>
              <w:t xml:space="preserve">one </w:t>
            </w:r>
            <w:r w:rsidR="00361771" w:rsidRPr="00DD4BFE">
              <w:rPr>
                <w:rFonts w:eastAsia="Gill Sans MT" w:cstheme="minorHAnsi"/>
                <w:spacing w:val="3"/>
                <w:szCs w:val="22"/>
              </w:rPr>
              <w:t xml:space="preserve">or more </w:t>
            </w:r>
            <w:r w:rsidRPr="00DD4BFE">
              <w:rPr>
                <w:rFonts w:eastAsia="Gill Sans MT" w:cstheme="minorHAnsi"/>
                <w:spacing w:val="3"/>
                <w:szCs w:val="22"/>
              </w:rPr>
              <w:t>Panel</w:t>
            </w:r>
            <w:r w:rsidR="00361771" w:rsidRPr="00DD4BFE">
              <w:rPr>
                <w:rFonts w:eastAsia="Gill Sans MT" w:cstheme="minorHAnsi"/>
                <w:spacing w:val="3"/>
                <w:szCs w:val="22"/>
              </w:rPr>
              <w:t xml:space="preserve"> members; the Panel may agree that this can be conducted by one Panel member only</w:t>
            </w:r>
            <w:r w:rsidR="00264AB6" w:rsidRPr="00DD4BFE">
              <w:rPr>
                <w:rFonts w:eastAsia="Gill Sans MT" w:cstheme="minorHAnsi"/>
                <w:spacing w:val="3"/>
                <w:szCs w:val="22"/>
              </w:rPr>
              <w:t xml:space="preserve">. It is the candidate’s responsibility to contact the Panel </w:t>
            </w:r>
            <w:r w:rsidR="00361771" w:rsidRPr="00DD4BFE">
              <w:rPr>
                <w:rFonts w:eastAsia="Gill Sans MT" w:cstheme="minorHAnsi"/>
                <w:spacing w:val="3"/>
                <w:szCs w:val="22"/>
              </w:rPr>
              <w:t xml:space="preserve">Lead </w:t>
            </w:r>
            <w:r w:rsidR="00264AB6" w:rsidRPr="00DD4BFE">
              <w:rPr>
                <w:rFonts w:eastAsia="Gill Sans MT" w:cstheme="minorHAnsi"/>
                <w:spacing w:val="3"/>
                <w:szCs w:val="22"/>
              </w:rPr>
              <w:t xml:space="preserve">to </w:t>
            </w:r>
            <w:r w:rsidR="00361771" w:rsidRPr="00DD4BFE">
              <w:rPr>
                <w:rFonts w:eastAsia="Gill Sans MT" w:cstheme="minorHAnsi"/>
                <w:spacing w:val="3"/>
                <w:szCs w:val="22"/>
              </w:rPr>
              <w:t>arrange</w:t>
            </w:r>
            <w:r w:rsidR="00264AB6" w:rsidRPr="00DD4BFE">
              <w:rPr>
                <w:rFonts w:eastAsia="Gill Sans MT" w:cstheme="minorHAnsi"/>
                <w:spacing w:val="3"/>
                <w:szCs w:val="22"/>
              </w:rPr>
              <w:t xml:space="preserve"> a date for this </w:t>
            </w:r>
            <w:r w:rsidR="00A14DC9" w:rsidRPr="00DD4BFE">
              <w:rPr>
                <w:rFonts w:eastAsia="Gill Sans MT" w:cstheme="minorHAnsi"/>
                <w:spacing w:val="3"/>
                <w:szCs w:val="22"/>
              </w:rPr>
              <w:t>dialogue</w:t>
            </w:r>
            <w:r w:rsidR="00361771" w:rsidRPr="00DD4BFE">
              <w:rPr>
                <w:rFonts w:eastAsia="Gill Sans MT" w:cstheme="minorHAnsi"/>
                <w:spacing w:val="3"/>
                <w:szCs w:val="22"/>
              </w:rPr>
              <w:t>, to allow the Panel to return their decision by the agreed APC date.</w:t>
            </w:r>
          </w:p>
          <w:p w14:paraId="0DFB9673" w14:textId="5BC30031" w:rsidR="008A0DF5" w:rsidRPr="00DD4BFE" w:rsidRDefault="00654F2A" w:rsidP="00DB274B">
            <w:pPr>
              <w:spacing w:before="34"/>
              <w:ind w:right="-23"/>
              <w:rPr>
                <w:rFonts w:cstheme="minorHAnsi"/>
                <w:color w:val="231F20"/>
                <w:szCs w:val="22"/>
                <w:lang w:eastAsia="en-GB"/>
              </w:rPr>
            </w:pPr>
            <w:r w:rsidRPr="00DD4BFE">
              <w:rPr>
                <w:rFonts w:eastAsia="Gill Sans MT" w:cstheme="minorHAnsi"/>
                <w:spacing w:val="3"/>
                <w:szCs w:val="22"/>
              </w:rPr>
              <w:t>In the case of both Refer and APC, candidates are advised to contact their Faculty</w:t>
            </w:r>
            <w:r w:rsidR="003E1700">
              <w:rPr>
                <w:rFonts w:eastAsia="Gill Sans MT" w:cstheme="minorHAnsi"/>
                <w:spacing w:val="3"/>
                <w:szCs w:val="22"/>
              </w:rPr>
              <w:t>/School</w:t>
            </w:r>
            <w:r w:rsidRPr="00DD4BFE">
              <w:rPr>
                <w:rFonts w:eastAsia="Gill Sans MT" w:cstheme="minorHAnsi"/>
                <w:spacing w:val="3"/>
                <w:szCs w:val="22"/>
              </w:rPr>
              <w:t xml:space="preserve"> Lead (Fellowship) for advice, </w:t>
            </w:r>
            <w:r w:rsidR="00361771" w:rsidRPr="00DD4BFE">
              <w:rPr>
                <w:rFonts w:eastAsia="Gill Sans MT" w:cstheme="minorHAnsi"/>
                <w:spacing w:val="3"/>
                <w:szCs w:val="22"/>
              </w:rPr>
              <w:t>although</w:t>
            </w:r>
            <w:r w:rsidRPr="00DD4BFE">
              <w:rPr>
                <w:rFonts w:eastAsia="Gill Sans MT" w:cstheme="minorHAnsi"/>
                <w:spacing w:val="3"/>
                <w:szCs w:val="22"/>
              </w:rPr>
              <w:t xml:space="preserve"> EDS may contact </w:t>
            </w:r>
            <w:r w:rsidR="00361771" w:rsidRPr="00DD4BFE">
              <w:rPr>
                <w:rFonts w:eastAsia="Gill Sans MT" w:cstheme="minorHAnsi"/>
                <w:spacing w:val="3"/>
                <w:szCs w:val="22"/>
              </w:rPr>
              <w:t>one of more Panel members</w:t>
            </w:r>
            <w:r w:rsidRPr="00DD4BFE">
              <w:rPr>
                <w:rFonts w:eastAsia="Gill Sans MT" w:cstheme="minorHAnsi"/>
                <w:spacing w:val="3"/>
                <w:szCs w:val="22"/>
              </w:rPr>
              <w:t xml:space="preserve"> to clarify any feedback </w:t>
            </w:r>
            <w:r w:rsidR="00361771" w:rsidRPr="00DD4BFE">
              <w:rPr>
                <w:rFonts w:eastAsia="Gill Sans MT" w:cstheme="minorHAnsi"/>
                <w:spacing w:val="3"/>
                <w:szCs w:val="22"/>
              </w:rPr>
              <w:t>on</w:t>
            </w:r>
            <w:r w:rsidRPr="00DD4BFE">
              <w:rPr>
                <w:rFonts w:eastAsia="Gill Sans MT" w:cstheme="minorHAnsi"/>
                <w:spacing w:val="3"/>
                <w:szCs w:val="22"/>
              </w:rPr>
              <w:t xml:space="preserve"> the Review form</w:t>
            </w:r>
            <w:r w:rsidR="00361771" w:rsidRPr="00DD4BFE">
              <w:rPr>
                <w:rFonts w:eastAsia="Gill Sans MT" w:cstheme="minorHAnsi"/>
                <w:spacing w:val="3"/>
                <w:szCs w:val="22"/>
              </w:rPr>
              <w:t>, should the candidate request this</w:t>
            </w:r>
            <w:r w:rsidRPr="00DD4BFE">
              <w:rPr>
                <w:rFonts w:eastAsia="Gill Sans MT" w:cstheme="minorHAnsi"/>
                <w:spacing w:val="3"/>
                <w:szCs w:val="22"/>
              </w:rPr>
              <w:t xml:space="preserve">.  </w:t>
            </w:r>
          </w:p>
        </w:tc>
      </w:tr>
    </w:tbl>
    <w:p w14:paraId="7D9EF07C" w14:textId="5794E857" w:rsidR="00D66EA5" w:rsidRDefault="00D66EA5" w:rsidP="00D66EA5">
      <w:pPr>
        <w:rPr>
          <w:sz w:val="24"/>
          <w:lang w:eastAsia="en-GB"/>
        </w:rPr>
      </w:pPr>
    </w:p>
    <w:tbl>
      <w:tblPr>
        <w:tblStyle w:val="TableGrid4"/>
        <w:tblW w:w="9918" w:type="dxa"/>
        <w:tblLayout w:type="fixed"/>
        <w:tblLook w:val="04A0" w:firstRow="1" w:lastRow="0" w:firstColumn="1" w:lastColumn="0" w:noHBand="0" w:noVBand="1"/>
      </w:tblPr>
      <w:tblGrid>
        <w:gridCol w:w="9918"/>
      </w:tblGrid>
      <w:tr w:rsidR="00DD4BFE" w:rsidRPr="005237C1" w14:paraId="224C56F0" w14:textId="77777777" w:rsidTr="007A727F">
        <w:trPr>
          <w:trHeight w:val="501"/>
        </w:trPr>
        <w:tc>
          <w:tcPr>
            <w:tcW w:w="9918" w:type="dxa"/>
            <w:shd w:val="clear" w:color="auto" w:fill="9CC2E5" w:themeFill="accent1" w:themeFillTint="99"/>
          </w:tcPr>
          <w:p w14:paraId="419C3FE7" w14:textId="77777777" w:rsidR="00DD4BFE" w:rsidRPr="005237C1" w:rsidRDefault="00DD4BFE" w:rsidP="007A727F">
            <w:pPr>
              <w:adjustRightInd w:val="0"/>
              <w:spacing w:line="276" w:lineRule="auto"/>
              <w:ind w:left="284" w:right="284" w:hanging="284"/>
              <w:rPr>
                <w:rFonts w:cs="Calibri"/>
                <w:b/>
                <w:color w:val="231F20"/>
                <w:sz w:val="24"/>
                <w:lang w:eastAsia="en-GB"/>
              </w:rPr>
            </w:pPr>
            <w:r>
              <w:rPr>
                <w:rFonts w:cs="Calibri"/>
                <w:b/>
                <w:color w:val="231F20"/>
                <w:sz w:val="24"/>
                <w:lang w:eastAsia="en-GB"/>
              </w:rPr>
              <w:t>2. Reviewing applications</w:t>
            </w:r>
          </w:p>
        </w:tc>
      </w:tr>
      <w:tr w:rsidR="00DD4BFE" w:rsidRPr="005237C1" w14:paraId="4BA2695C" w14:textId="77777777" w:rsidTr="007A727F">
        <w:trPr>
          <w:trHeight w:val="167"/>
        </w:trPr>
        <w:tc>
          <w:tcPr>
            <w:tcW w:w="9918" w:type="dxa"/>
          </w:tcPr>
          <w:p w14:paraId="062AE4D5" w14:textId="77777777" w:rsidR="00B823F4" w:rsidRDefault="00DB274B" w:rsidP="007A727F">
            <w:pPr>
              <w:spacing w:after="160" w:line="259" w:lineRule="auto"/>
              <w:rPr>
                <w:rFonts w:cs="Calibri"/>
                <w:szCs w:val="22"/>
              </w:rPr>
            </w:pPr>
            <w:r w:rsidRPr="00DB274B">
              <w:rPr>
                <w:rFonts w:cs="Calibri"/>
                <w:szCs w:val="22"/>
              </w:rPr>
              <w:t xml:space="preserve">The heart of the judgement process is to use the APP to make a judgement about the actual teaching and learning support practice of the candidate. The case studies and </w:t>
            </w:r>
            <w:r>
              <w:rPr>
                <w:rFonts w:cs="Calibri"/>
                <w:szCs w:val="22"/>
              </w:rPr>
              <w:t>Account of Professional Practice (APP)</w:t>
            </w:r>
            <w:r w:rsidRPr="00DB274B">
              <w:rPr>
                <w:rFonts w:cs="Calibri"/>
                <w:szCs w:val="22"/>
              </w:rPr>
              <w:t xml:space="preserve"> should </w:t>
            </w:r>
            <w:r>
              <w:rPr>
                <w:rFonts w:cs="Calibri"/>
                <w:szCs w:val="22"/>
              </w:rPr>
              <w:t xml:space="preserve">summarise </w:t>
            </w:r>
            <w:r w:rsidRPr="00DB274B">
              <w:rPr>
                <w:rFonts w:cs="Calibri"/>
                <w:szCs w:val="22"/>
              </w:rPr>
              <w:t xml:space="preserve">the candidate’s practice and be judged holistically. </w:t>
            </w:r>
          </w:p>
          <w:p w14:paraId="65AFFCBE" w14:textId="787A480C" w:rsidR="00DD4BFE" w:rsidRDefault="00DB274B" w:rsidP="007A727F">
            <w:pPr>
              <w:spacing w:after="160" w:line="259" w:lineRule="auto"/>
              <w:rPr>
                <w:rFonts w:cs="Calibri"/>
                <w:szCs w:val="22"/>
              </w:rPr>
            </w:pPr>
            <w:r>
              <w:rPr>
                <w:rFonts w:cs="Calibri"/>
                <w:szCs w:val="22"/>
              </w:rPr>
              <w:t>Candidates</w:t>
            </w:r>
            <w:r w:rsidRPr="00DB274B">
              <w:rPr>
                <w:rFonts w:cs="Calibri"/>
                <w:szCs w:val="22"/>
              </w:rPr>
              <w:t xml:space="preserve"> should be able to provide evidence of fulfilling the requirements of ALL </w:t>
            </w:r>
            <w:r w:rsidR="00DD4BFE" w:rsidRPr="003B20EB">
              <w:rPr>
                <w:rFonts w:cs="Calibri"/>
                <w:szCs w:val="22"/>
              </w:rPr>
              <w:t>UKPSF Descriptors for D</w:t>
            </w:r>
            <w:r>
              <w:rPr>
                <w:rFonts w:cs="Calibri"/>
                <w:szCs w:val="22"/>
              </w:rPr>
              <w:t>3</w:t>
            </w:r>
            <w:r w:rsidR="00DD4BFE" w:rsidRPr="003B20EB">
              <w:rPr>
                <w:rFonts w:cs="Calibri"/>
                <w:szCs w:val="22"/>
              </w:rPr>
              <w:t>:</w:t>
            </w:r>
            <w:r w:rsidR="00CF7A46">
              <w:rPr>
                <w:rFonts w:cs="Calibri"/>
                <w:szCs w:val="22"/>
              </w:rPr>
              <w:t xml:space="preserve"> </w:t>
            </w:r>
          </w:p>
          <w:p w14:paraId="6176109C" w14:textId="77777777" w:rsidR="00485C1B" w:rsidRPr="00485C1B" w:rsidRDefault="00485C1B" w:rsidP="00485C1B">
            <w:pPr>
              <w:spacing w:line="259" w:lineRule="auto"/>
              <w:rPr>
                <w:rFonts w:cs="Calibri"/>
                <w:szCs w:val="22"/>
              </w:rPr>
            </w:pPr>
            <w:r w:rsidRPr="00485C1B">
              <w:rPr>
                <w:rFonts w:cs="Calibri"/>
                <w:szCs w:val="22"/>
              </w:rPr>
              <w:t>I.   Successful engagement across all five Areas of Activity</w:t>
            </w:r>
          </w:p>
          <w:p w14:paraId="09682603" w14:textId="77777777" w:rsidR="00485C1B" w:rsidRPr="00485C1B" w:rsidRDefault="00485C1B" w:rsidP="00485C1B">
            <w:pPr>
              <w:spacing w:line="259" w:lineRule="auto"/>
              <w:rPr>
                <w:rFonts w:cs="Calibri"/>
                <w:szCs w:val="22"/>
              </w:rPr>
            </w:pPr>
            <w:r w:rsidRPr="00485C1B">
              <w:rPr>
                <w:rFonts w:cs="Calibri"/>
                <w:szCs w:val="22"/>
              </w:rPr>
              <w:t>II.  Appropriate knowledge and understanding across all aspects of Core Knowledge</w:t>
            </w:r>
          </w:p>
          <w:p w14:paraId="7B8705CC" w14:textId="77777777" w:rsidR="00485C1B" w:rsidRPr="00485C1B" w:rsidRDefault="00485C1B" w:rsidP="00485C1B">
            <w:pPr>
              <w:spacing w:line="259" w:lineRule="auto"/>
              <w:rPr>
                <w:rFonts w:cs="Calibri"/>
                <w:szCs w:val="22"/>
              </w:rPr>
            </w:pPr>
            <w:r w:rsidRPr="00485C1B">
              <w:rPr>
                <w:rFonts w:cs="Calibri"/>
                <w:szCs w:val="22"/>
              </w:rPr>
              <w:t>III. A commitment to all the Professional Values</w:t>
            </w:r>
          </w:p>
          <w:p w14:paraId="05F6529B" w14:textId="77777777" w:rsidR="00485C1B" w:rsidRPr="00485C1B" w:rsidRDefault="00485C1B" w:rsidP="00485C1B">
            <w:pPr>
              <w:spacing w:line="259" w:lineRule="auto"/>
              <w:rPr>
                <w:rFonts w:cs="Calibri"/>
                <w:szCs w:val="22"/>
              </w:rPr>
            </w:pPr>
            <w:r w:rsidRPr="00485C1B">
              <w:rPr>
                <w:rFonts w:cs="Calibri"/>
                <w:szCs w:val="22"/>
              </w:rPr>
              <w:t>IV. Successful engagement in appropriate teaching practices related to the Areas of Activity</w:t>
            </w:r>
          </w:p>
          <w:p w14:paraId="55CBC293" w14:textId="77777777" w:rsidR="00485C1B" w:rsidRPr="00485C1B" w:rsidRDefault="00485C1B" w:rsidP="00485C1B">
            <w:pPr>
              <w:spacing w:line="259" w:lineRule="auto"/>
              <w:rPr>
                <w:rFonts w:cs="Calibri"/>
                <w:szCs w:val="22"/>
              </w:rPr>
            </w:pPr>
            <w:r w:rsidRPr="00485C1B">
              <w:rPr>
                <w:rFonts w:cs="Calibri"/>
                <w:szCs w:val="22"/>
              </w:rPr>
              <w:t>V.  Successful incorporation of subject and pedagogic research and/or scholarship within the above activities, as part of an integrated approach to academic practice</w:t>
            </w:r>
          </w:p>
          <w:p w14:paraId="1D34470B" w14:textId="77777777" w:rsidR="00DD4BFE" w:rsidRDefault="00485C1B" w:rsidP="00485C1B">
            <w:pPr>
              <w:spacing w:line="259" w:lineRule="auto"/>
              <w:rPr>
                <w:rFonts w:cs="Calibri"/>
                <w:szCs w:val="22"/>
              </w:rPr>
            </w:pPr>
            <w:r w:rsidRPr="00485C1B">
              <w:rPr>
                <w:rFonts w:cs="Calibri"/>
                <w:szCs w:val="22"/>
              </w:rPr>
              <w:t>VI. Successful engagement in continuing professional development in relation to teaching, learning, assessment, and, where appropriate, related academic or professional practices</w:t>
            </w:r>
          </w:p>
          <w:p w14:paraId="0EB800CB" w14:textId="77777777" w:rsidR="00CF7A46" w:rsidRDefault="00CF7A46" w:rsidP="00485C1B">
            <w:pPr>
              <w:spacing w:line="259" w:lineRule="auto"/>
              <w:rPr>
                <w:rFonts w:cs="Calibri"/>
                <w:szCs w:val="22"/>
              </w:rPr>
            </w:pPr>
            <w:r>
              <w:rPr>
                <w:rFonts w:cs="Calibri"/>
                <w:szCs w:val="22"/>
              </w:rPr>
              <w:lastRenderedPageBreak/>
              <w:t xml:space="preserve">VII. </w:t>
            </w:r>
            <w:r w:rsidRPr="00CF7A46">
              <w:rPr>
                <w:rFonts w:cs="Calibri"/>
                <w:szCs w:val="22"/>
              </w:rPr>
              <w:t>Successful coordination, support, supervision, management and/or mentoring of others (whether individuals and/or teams) in relation to teaching and learning</w:t>
            </w:r>
          </w:p>
          <w:p w14:paraId="0BDA2AA3" w14:textId="30502C15" w:rsidR="00CF7A46" w:rsidRDefault="00CF7A46" w:rsidP="00485C1B">
            <w:pPr>
              <w:spacing w:line="259" w:lineRule="auto"/>
              <w:rPr>
                <w:rFonts w:cs="Calibri"/>
                <w:szCs w:val="22"/>
              </w:rPr>
            </w:pPr>
          </w:p>
        </w:tc>
      </w:tr>
      <w:tr w:rsidR="00DD4BFE" w:rsidRPr="005237C1" w14:paraId="08BA871F" w14:textId="77777777" w:rsidTr="007A727F">
        <w:trPr>
          <w:trHeight w:val="167"/>
        </w:trPr>
        <w:tc>
          <w:tcPr>
            <w:tcW w:w="9918" w:type="dxa"/>
            <w:shd w:val="clear" w:color="auto" w:fill="9CC2E5" w:themeFill="accent1" w:themeFillTint="99"/>
          </w:tcPr>
          <w:p w14:paraId="30B0C677" w14:textId="3552CDDA" w:rsidR="00DD4BFE" w:rsidRPr="00F7378F" w:rsidRDefault="00DD4BFE" w:rsidP="007A727F">
            <w:pPr>
              <w:spacing w:after="160" w:line="259" w:lineRule="auto"/>
              <w:rPr>
                <w:rFonts w:cs="Calibri"/>
                <w:szCs w:val="22"/>
              </w:rPr>
            </w:pPr>
            <w:r>
              <w:rPr>
                <w:rFonts w:cs="Calibri"/>
                <w:b/>
                <w:color w:val="231F20"/>
                <w:sz w:val="24"/>
                <w:lang w:eastAsia="en-GB"/>
              </w:rPr>
              <w:lastRenderedPageBreak/>
              <w:t>Making your judgement</w:t>
            </w:r>
            <w:r w:rsidR="001C2A44">
              <w:rPr>
                <w:rFonts w:cs="Calibri"/>
                <w:b/>
                <w:color w:val="231F20"/>
                <w:sz w:val="24"/>
                <w:lang w:eastAsia="en-GB"/>
              </w:rPr>
              <w:t xml:space="preserve"> – considering the Dimensions</w:t>
            </w:r>
          </w:p>
        </w:tc>
      </w:tr>
      <w:tr w:rsidR="00DD4BFE" w:rsidRPr="005237C1" w14:paraId="4334AF2B" w14:textId="77777777" w:rsidTr="007A727F">
        <w:trPr>
          <w:trHeight w:val="167"/>
        </w:trPr>
        <w:tc>
          <w:tcPr>
            <w:tcW w:w="9918" w:type="dxa"/>
          </w:tcPr>
          <w:p w14:paraId="1E6C0DB1" w14:textId="75AEA456" w:rsidR="00CF7A46" w:rsidRPr="00B823F4" w:rsidRDefault="00CF7A46" w:rsidP="00CF7A46">
            <w:pPr>
              <w:spacing w:after="160" w:line="259" w:lineRule="auto"/>
              <w:rPr>
                <w:rFonts w:cs="Calibri"/>
                <w:b/>
                <w:sz w:val="20"/>
                <w:szCs w:val="20"/>
              </w:rPr>
            </w:pPr>
            <w:r w:rsidRPr="00B823F4">
              <w:rPr>
                <w:rFonts w:cs="Calibri"/>
                <w:b/>
                <w:sz w:val="20"/>
                <w:szCs w:val="20"/>
              </w:rPr>
              <w:t>D3.I Successful engagement with all five areas of Activity</w:t>
            </w:r>
            <w:r w:rsidR="001C2A44" w:rsidRPr="00B823F4">
              <w:rPr>
                <w:rFonts w:cs="Calibri"/>
                <w:b/>
                <w:sz w:val="20"/>
                <w:szCs w:val="20"/>
              </w:rPr>
              <w:t xml:space="preserve">, </w:t>
            </w:r>
            <w:r w:rsidRPr="00B823F4">
              <w:rPr>
                <w:rFonts w:cs="Calibri"/>
                <w:b/>
                <w:sz w:val="20"/>
                <w:szCs w:val="20"/>
              </w:rPr>
              <w:t>D3.IV Successful engagement in appropriate teaching practices related to the Areas of Activity</w:t>
            </w:r>
            <w:r w:rsidR="001C2A44" w:rsidRPr="00B823F4">
              <w:rPr>
                <w:rFonts w:cs="Calibri"/>
                <w:b/>
                <w:sz w:val="20"/>
                <w:szCs w:val="20"/>
              </w:rPr>
              <w:t>:</w:t>
            </w:r>
          </w:p>
          <w:p w14:paraId="32560B6E" w14:textId="77777777" w:rsidR="00CF7A46" w:rsidRPr="00CF7A46" w:rsidRDefault="00CF7A46" w:rsidP="00CF7A46">
            <w:pPr>
              <w:spacing w:after="160" w:line="259" w:lineRule="auto"/>
              <w:rPr>
                <w:rFonts w:cs="Calibri"/>
                <w:sz w:val="20"/>
                <w:szCs w:val="20"/>
              </w:rPr>
            </w:pPr>
            <w:r w:rsidRPr="00CF7A46">
              <w:rPr>
                <w:rFonts w:cs="Calibri"/>
                <w:sz w:val="20"/>
                <w:szCs w:val="20"/>
              </w:rPr>
              <w:t>D3.I and 3.IV are closely linked and are considered together. Applications should provide evidence of successful engagement with all five Areas of Activity. The evidence should be found across both the case studies and the reflective account of practice and will give descriptions of specific examples of when candidates have engaged with the Areas of Activity. It is important that the candidate clearly indicates their role in relation to the examples given and the impact and influence of their work on others. For instance, if they reflect on their education, training, employment and roles they should explain what their contribution was in each of these.</w:t>
            </w:r>
          </w:p>
          <w:p w14:paraId="0FAC1352" w14:textId="77777777" w:rsidR="00CF7A46" w:rsidRPr="00CF7A46" w:rsidRDefault="00CF7A46" w:rsidP="00CF7A46">
            <w:pPr>
              <w:spacing w:after="160" w:line="259" w:lineRule="auto"/>
              <w:rPr>
                <w:rFonts w:cs="Calibri"/>
                <w:sz w:val="20"/>
                <w:szCs w:val="20"/>
              </w:rPr>
            </w:pPr>
            <w:r w:rsidRPr="00CF7A46">
              <w:rPr>
                <w:rFonts w:cs="Calibri"/>
                <w:sz w:val="20"/>
                <w:szCs w:val="20"/>
              </w:rPr>
              <w:t>The depth of coverage of the Descriptors will vary according to the particular context and role of the candidate – the reflective account of practice and case studies do not necessarily have to be of the same length.</w:t>
            </w:r>
          </w:p>
          <w:p w14:paraId="576DEF34" w14:textId="77777777" w:rsidR="00CF7A46" w:rsidRPr="00CF7A46" w:rsidRDefault="00CF7A46" w:rsidP="00CF7A46">
            <w:pPr>
              <w:spacing w:after="160" w:line="259" w:lineRule="auto"/>
              <w:rPr>
                <w:rFonts w:cs="Calibri"/>
                <w:sz w:val="20"/>
                <w:szCs w:val="20"/>
              </w:rPr>
            </w:pPr>
            <w:r w:rsidRPr="00CF7A46">
              <w:rPr>
                <w:rFonts w:cs="Calibri"/>
                <w:sz w:val="20"/>
                <w:szCs w:val="20"/>
              </w:rPr>
              <w:t xml:space="preserve">If you ‘refer’ </w:t>
            </w:r>
            <w:r w:rsidRPr="001C2A44">
              <w:rPr>
                <w:rFonts w:cs="Calibri"/>
                <w:i/>
                <w:sz w:val="20"/>
                <w:szCs w:val="20"/>
              </w:rPr>
              <w:t>any</w:t>
            </w:r>
            <w:r w:rsidRPr="00CF7A46">
              <w:rPr>
                <w:rFonts w:cs="Calibri"/>
                <w:sz w:val="20"/>
                <w:szCs w:val="20"/>
              </w:rPr>
              <w:t xml:space="preserve"> of the following then this is an automatic referral for Senior Fellowship:</w:t>
            </w:r>
          </w:p>
          <w:p w14:paraId="2F7E837F" w14:textId="77777777" w:rsidR="00CF7A46" w:rsidRPr="00CF7A46" w:rsidRDefault="00CF7A46" w:rsidP="00CF7A46">
            <w:pPr>
              <w:spacing w:after="160" w:line="259" w:lineRule="auto"/>
              <w:rPr>
                <w:rFonts w:cs="Calibri"/>
                <w:sz w:val="20"/>
                <w:szCs w:val="20"/>
              </w:rPr>
            </w:pPr>
            <w:r w:rsidRPr="00CF7A46">
              <w:rPr>
                <w:rFonts w:cs="Calibri"/>
                <w:sz w:val="20"/>
                <w:szCs w:val="20"/>
              </w:rPr>
              <w:t>• any Area of Activity</w:t>
            </w:r>
          </w:p>
          <w:p w14:paraId="23875E4E" w14:textId="77777777" w:rsidR="00CF7A46" w:rsidRPr="00CF7A46" w:rsidRDefault="00CF7A46" w:rsidP="00CF7A46">
            <w:pPr>
              <w:spacing w:after="160" w:line="259" w:lineRule="auto"/>
              <w:rPr>
                <w:rFonts w:cs="Calibri"/>
                <w:sz w:val="20"/>
                <w:szCs w:val="20"/>
              </w:rPr>
            </w:pPr>
            <w:r w:rsidRPr="00CF7A46">
              <w:rPr>
                <w:rFonts w:cs="Calibri"/>
                <w:sz w:val="20"/>
                <w:szCs w:val="20"/>
              </w:rPr>
              <w:t>• the descriptor relating to Professional Values</w:t>
            </w:r>
          </w:p>
          <w:p w14:paraId="1B398E89" w14:textId="77777777" w:rsidR="00CF7A46" w:rsidRPr="00CF7A46" w:rsidRDefault="00CF7A46" w:rsidP="00CF7A46">
            <w:pPr>
              <w:spacing w:after="160" w:line="259" w:lineRule="auto"/>
              <w:rPr>
                <w:rFonts w:cs="Calibri"/>
                <w:sz w:val="20"/>
                <w:szCs w:val="20"/>
              </w:rPr>
            </w:pPr>
            <w:r w:rsidRPr="00CF7A46">
              <w:rPr>
                <w:rFonts w:cs="Calibri"/>
                <w:sz w:val="20"/>
                <w:szCs w:val="20"/>
              </w:rPr>
              <w:t>• any of the descriptors relating to Core Knowledge</w:t>
            </w:r>
          </w:p>
          <w:p w14:paraId="0A1DDA17" w14:textId="77777777" w:rsidR="00CF7A46" w:rsidRPr="00CF7A46" w:rsidRDefault="00CF7A46" w:rsidP="00CF7A46">
            <w:pPr>
              <w:spacing w:after="160" w:line="259" w:lineRule="auto"/>
              <w:rPr>
                <w:rFonts w:cs="Calibri"/>
                <w:sz w:val="20"/>
                <w:szCs w:val="20"/>
              </w:rPr>
            </w:pPr>
            <w:r w:rsidRPr="00CF7A46">
              <w:rPr>
                <w:rFonts w:cs="Calibri"/>
                <w:sz w:val="20"/>
                <w:szCs w:val="20"/>
              </w:rPr>
              <w:t>• the descriptor relating to the whole claim (D3.VII)</w:t>
            </w:r>
          </w:p>
          <w:p w14:paraId="3644604D" w14:textId="08D99DE1" w:rsidR="00CF7A46" w:rsidRPr="00CF7A46" w:rsidRDefault="00CF7A46" w:rsidP="00CF7A46">
            <w:pPr>
              <w:spacing w:after="160" w:line="259" w:lineRule="auto"/>
              <w:rPr>
                <w:rFonts w:cs="Calibri"/>
                <w:sz w:val="20"/>
                <w:szCs w:val="20"/>
              </w:rPr>
            </w:pPr>
            <w:r w:rsidRPr="00CF7A46">
              <w:rPr>
                <w:rFonts w:cs="Calibri"/>
                <w:sz w:val="20"/>
                <w:szCs w:val="20"/>
              </w:rPr>
              <w:t xml:space="preserve">The evidence for successful engagement with D3 should be reflective and this should be based directly on all the Dimensions of Framework - that is, on the Areas of Activity, Core Knowledge and Professional Values. </w:t>
            </w:r>
          </w:p>
          <w:p w14:paraId="1F5FC1D3" w14:textId="310E4EA7" w:rsidR="00CF7A46" w:rsidRPr="00B823F4" w:rsidRDefault="00CF7A46" w:rsidP="00CF7A46">
            <w:pPr>
              <w:spacing w:after="160" w:line="259" w:lineRule="auto"/>
              <w:rPr>
                <w:rFonts w:cs="Calibri"/>
                <w:b/>
                <w:sz w:val="20"/>
                <w:szCs w:val="20"/>
              </w:rPr>
            </w:pPr>
            <w:r w:rsidRPr="00B823F4">
              <w:rPr>
                <w:rFonts w:cs="Calibri"/>
                <w:b/>
                <w:sz w:val="20"/>
                <w:szCs w:val="20"/>
              </w:rPr>
              <w:t>D3.II Appropriate knowledge and understanding across all aspects of Core Knowledge</w:t>
            </w:r>
            <w:r w:rsidR="00B823F4" w:rsidRPr="00B823F4">
              <w:rPr>
                <w:rFonts w:cs="Calibri"/>
                <w:b/>
                <w:sz w:val="20"/>
                <w:szCs w:val="20"/>
              </w:rPr>
              <w:t xml:space="preserve">, </w:t>
            </w:r>
            <w:r w:rsidRPr="00B823F4">
              <w:rPr>
                <w:rFonts w:cs="Calibri"/>
                <w:b/>
                <w:sz w:val="20"/>
                <w:szCs w:val="20"/>
              </w:rPr>
              <w:t>D3.V Successful incorporation of subject and pedagogic research and/or scholarship within activities, as part of an integrated approach to academic practice</w:t>
            </w:r>
            <w:r w:rsidR="00B823F4" w:rsidRPr="00B823F4">
              <w:rPr>
                <w:rFonts w:cs="Calibri"/>
                <w:b/>
                <w:sz w:val="20"/>
                <w:szCs w:val="20"/>
              </w:rPr>
              <w:t xml:space="preserve">, </w:t>
            </w:r>
            <w:r w:rsidRPr="00B823F4">
              <w:rPr>
                <w:rFonts w:cs="Calibri"/>
                <w:b/>
                <w:sz w:val="20"/>
                <w:szCs w:val="20"/>
              </w:rPr>
              <w:t>D3.VI Successful engagement in continuing professional development in relation to teaching, learning, assessment, scholarship and, where appropriate, related professional practices</w:t>
            </w:r>
            <w:r w:rsidR="00B823F4">
              <w:rPr>
                <w:rFonts w:cs="Calibri"/>
                <w:b/>
                <w:sz w:val="20"/>
                <w:szCs w:val="20"/>
              </w:rPr>
              <w:t>:</w:t>
            </w:r>
          </w:p>
          <w:p w14:paraId="64980D67" w14:textId="0DCC5F29" w:rsidR="00CF7A46" w:rsidRPr="00CF7A46" w:rsidRDefault="00CF7A46" w:rsidP="00CF7A46">
            <w:pPr>
              <w:spacing w:after="160" w:line="259" w:lineRule="auto"/>
              <w:rPr>
                <w:rFonts w:cs="Calibri"/>
                <w:sz w:val="20"/>
                <w:szCs w:val="20"/>
              </w:rPr>
            </w:pPr>
            <w:r w:rsidRPr="00CF7A46">
              <w:rPr>
                <w:rFonts w:cs="Calibri"/>
                <w:sz w:val="20"/>
                <w:szCs w:val="20"/>
              </w:rPr>
              <w:t>D3.II, D3.V and D3.VI are closely linked and are treated together</w:t>
            </w:r>
            <w:r w:rsidR="00B823F4">
              <w:rPr>
                <w:rFonts w:cs="Calibri"/>
                <w:sz w:val="20"/>
                <w:szCs w:val="20"/>
              </w:rPr>
              <w:t xml:space="preserve"> and e</w:t>
            </w:r>
            <w:r w:rsidRPr="00CF7A46">
              <w:rPr>
                <w:rFonts w:cs="Calibri"/>
                <w:sz w:val="20"/>
                <w:szCs w:val="20"/>
              </w:rPr>
              <w:t>vidence of fulfilling these Descriptors may be found in all sections of the APP.</w:t>
            </w:r>
          </w:p>
          <w:p w14:paraId="5EFCAE59" w14:textId="15F3BAB6" w:rsidR="00CF7A46" w:rsidRPr="00CF7A46" w:rsidRDefault="00CF7A46" w:rsidP="00CF7A46">
            <w:pPr>
              <w:spacing w:after="160" w:line="259" w:lineRule="auto"/>
              <w:rPr>
                <w:rFonts w:cs="Calibri"/>
                <w:sz w:val="20"/>
                <w:szCs w:val="20"/>
              </w:rPr>
            </w:pPr>
            <w:r w:rsidRPr="00CF7A46">
              <w:rPr>
                <w:rFonts w:cs="Calibri"/>
                <w:sz w:val="20"/>
                <w:szCs w:val="20"/>
              </w:rPr>
              <w:t>D3.II The chosen examples of engagement must be accompanied by a discussion of the rationale of the candidate’s approach in terms of their acquisition and application of Core Knowledge. You are expected to use your professional judgement in relation to the overall depth and adequacy of coverage of each element of Core Knowledge. If some elements are dealt with in more depth and others more superficially then compensation is acceptable.</w:t>
            </w:r>
            <w:r w:rsidR="00B823F4">
              <w:rPr>
                <w:rFonts w:cs="Calibri"/>
                <w:sz w:val="20"/>
                <w:szCs w:val="20"/>
              </w:rPr>
              <w:t xml:space="preserve"> </w:t>
            </w:r>
            <w:r w:rsidRPr="00CF7A46">
              <w:rPr>
                <w:rFonts w:cs="Calibri"/>
                <w:sz w:val="20"/>
                <w:szCs w:val="20"/>
              </w:rPr>
              <w:t>The term ‘appropriate’ should also be used to inform your judgement about evidence of Core Knowledge. All the elements should be interpreted in the light of the professional context of the applicant and what is appropriate for them given that context. For example, the methods they choose to evaluate the effectiveness of teaching will be heavily dependent on the disciplinary and situational context in which they are teaching and/or supporting learning.</w:t>
            </w:r>
          </w:p>
          <w:p w14:paraId="1EB971B6" w14:textId="77777777" w:rsidR="00CF7A46" w:rsidRPr="00CF7A46" w:rsidRDefault="00CF7A46" w:rsidP="00CF7A46">
            <w:pPr>
              <w:spacing w:after="160" w:line="259" w:lineRule="auto"/>
              <w:rPr>
                <w:rFonts w:cs="Calibri"/>
                <w:sz w:val="20"/>
                <w:szCs w:val="20"/>
              </w:rPr>
            </w:pPr>
            <w:r w:rsidRPr="00CF7A46">
              <w:rPr>
                <w:rFonts w:cs="Calibri"/>
                <w:sz w:val="20"/>
                <w:szCs w:val="20"/>
              </w:rPr>
              <w:t>D3.V It is essential that Senior Fellows provide evidence of having accessed and utilised external advice and guidance based on educational scholarship and likely that they themselves will be undertaking some kind of research which may well (though this is not essential) include research for publication in peer review journals.</w:t>
            </w:r>
          </w:p>
          <w:p w14:paraId="4B4C23BD" w14:textId="1A4C622A" w:rsidR="00CF7A46" w:rsidRPr="00CF7A46" w:rsidRDefault="00CF7A46" w:rsidP="00CF7A46">
            <w:pPr>
              <w:spacing w:after="160" w:line="259" w:lineRule="auto"/>
              <w:rPr>
                <w:rFonts w:cs="Calibri"/>
                <w:sz w:val="20"/>
                <w:szCs w:val="20"/>
              </w:rPr>
            </w:pPr>
            <w:r w:rsidRPr="00CF7A46">
              <w:rPr>
                <w:rFonts w:cs="Calibri"/>
                <w:sz w:val="20"/>
                <w:szCs w:val="20"/>
              </w:rPr>
              <w:t xml:space="preserve">D3.VI A real and practical commitment to CPD is central to the Framework and no candidate should gain Senior Fellowship who has not clearly and explicitly evidenced such a commitment. This emphasis is stated explicitly in the Framework in A5, but is also reaffirmed in K5, K6 and V3. </w:t>
            </w:r>
          </w:p>
          <w:p w14:paraId="4303F495" w14:textId="693E31F4" w:rsidR="00CF7A46" w:rsidRPr="00B823F4" w:rsidRDefault="00CF7A46" w:rsidP="00CF7A46">
            <w:pPr>
              <w:spacing w:after="160" w:line="259" w:lineRule="auto"/>
              <w:rPr>
                <w:rFonts w:cs="Calibri"/>
                <w:b/>
                <w:sz w:val="20"/>
                <w:szCs w:val="20"/>
              </w:rPr>
            </w:pPr>
            <w:r w:rsidRPr="00B823F4">
              <w:rPr>
                <w:rFonts w:cs="Calibri"/>
                <w:b/>
                <w:sz w:val="20"/>
                <w:szCs w:val="20"/>
              </w:rPr>
              <w:lastRenderedPageBreak/>
              <w:t>D3.VII Successful coordination, support, supervision, management and/or mentoring of others (whether individuals and/or teams) in relation to teaching and learning</w:t>
            </w:r>
            <w:r w:rsidR="00B823F4">
              <w:rPr>
                <w:rFonts w:cs="Calibri"/>
                <w:b/>
                <w:sz w:val="20"/>
                <w:szCs w:val="20"/>
              </w:rPr>
              <w:t>:</w:t>
            </w:r>
          </w:p>
          <w:p w14:paraId="46DDB9FB" w14:textId="09CAD9B0" w:rsidR="00DD4BFE" w:rsidRPr="009E6E06" w:rsidRDefault="00CF7A46" w:rsidP="00CF7A46">
            <w:pPr>
              <w:spacing w:after="160"/>
              <w:rPr>
                <w:rFonts w:cs="Calibri"/>
                <w:sz w:val="20"/>
                <w:szCs w:val="20"/>
              </w:rPr>
            </w:pPr>
            <w:r w:rsidRPr="00CF7A46">
              <w:rPr>
                <w:rFonts w:cs="Calibri"/>
                <w:sz w:val="20"/>
                <w:szCs w:val="20"/>
              </w:rPr>
              <w:t>This is the overarching element of the descriptor and evidence for this should be found across the application. It is the essential distinguishing characteristic of the Senior Fellow.</w:t>
            </w:r>
          </w:p>
        </w:tc>
      </w:tr>
      <w:tr w:rsidR="00DD4BFE" w:rsidRPr="005237C1" w14:paraId="0B376AFF" w14:textId="77777777" w:rsidTr="007A727F">
        <w:trPr>
          <w:trHeight w:val="167"/>
        </w:trPr>
        <w:tc>
          <w:tcPr>
            <w:tcW w:w="9918" w:type="dxa"/>
            <w:shd w:val="clear" w:color="auto" w:fill="9CC2E5" w:themeFill="accent1" w:themeFillTint="99"/>
          </w:tcPr>
          <w:p w14:paraId="5730EE6B" w14:textId="77777777" w:rsidR="00DD4BFE" w:rsidRPr="003B20EB" w:rsidRDefault="00DD4BFE" w:rsidP="007A727F">
            <w:pPr>
              <w:spacing w:after="160"/>
              <w:rPr>
                <w:rFonts w:cs="Calibri"/>
                <w:b/>
                <w:color w:val="231F20"/>
                <w:sz w:val="24"/>
                <w:lang w:eastAsia="en-GB"/>
              </w:rPr>
            </w:pPr>
            <w:r w:rsidRPr="003B20EB">
              <w:rPr>
                <w:rFonts w:cs="Calibri"/>
                <w:b/>
                <w:color w:val="231F20"/>
                <w:sz w:val="24"/>
                <w:lang w:eastAsia="en-GB"/>
              </w:rPr>
              <w:lastRenderedPageBreak/>
              <w:t>Completing the Review form</w:t>
            </w:r>
          </w:p>
        </w:tc>
      </w:tr>
      <w:tr w:rsidR="00DD4BFE" w:rsidRPr="005237C1" w14:paraId="228C44FC" w14:textId="77777777" w:rsidTr="007A727F">
        <w:trPr>
          <w:trHeight w:val="501"/>
        </w:trPr>
        <w:tc>
          <w:tcPr>
            <w:tcW w:w="9918" w:type="dxa"/>
          </w:tcPr>
          <w:p w14:paraId="6810703B" w14:textId="63FF95B8" w:rsidR="00DD4BFE" w:rsidRDefault="00DD4BFE" w:rsidP="007A727F">
            <w:pPr>
              <w:adjustRightInd w:val="0"/>
              <w:spacing w:line="276" w:lineRule="auto"/>
              <w:ind w:left="284" w:right="284" w:hanging="284"/>
              <w:rPr>
                <w:rFonts w:cs="Calibri"/>
                <w:color w:val="231F20"/>
                <w:szCs w:val="22"/>
                <w:lang w:eastAsia="en-GB"/>
              </w:rPr>
            </w:pPr>
            <w:r w:rsidRPr="00DD4BFE">
              <w:rPr>
                <w:rFonts w:cs="Calibri"/>
                <w:color w:val="231F20"/>
                <w:szCs w:val="22"/>
                <w:lang w:eastAsia="en-GB"/>
              </w:rPr>
              <w:t>Insert the candidate’s name, the names of all Panel members and date the decision was agreed.</w:t>
            </w:r>
            <w:r>
              <w:rPr>
                <w:rFonts w:cs="Calibri"/>
                <w:color w:val="231F20"/>
                <w:szCs w:val="22"/>
                <w:lang w:eastAsia="en-GB"/>
              </w:rPr>
              <w:t xml:space="preserve"> </w:t>
            </w:r>
          </w:p>
          <w:p w14:paraId="5F1FA9B4" w14:textId="77777777" w:rsidR="00B823F4" w:rsidRPr="00DD4BFE" w:rsidRDefault="00B823F4" w:rsidP="007A727F">
            <w:pPr>
              <w:adjustRightInd w:val="0"/>
              <w:spacing w:line="276" w:lineRule="auto"/>
              <w:ind w:left="284" w:right="284" w:hanging="284"/>
              <w:rPr>
                <w:rFonts w:cs="Calibri"/>
                <w:color w:val="231F20"/>
                <w:szCs w:val="22"/>
                <w:lang w:eastAsia="en-GB"/>
              </w:rPr>
            </w:pPr>
          </w:p>
          <w:p w14:paraId="164E98A2" w14:textId="77777777" w:rsidR="00DD4BFE" w:rsidRPr="00DD4BFE" w:rsidRDefault="00DD4BFE" w:rsidP="007A727F">
            <w:pPr>
              <w:adjustRightInd w:val="0"/>
              <w:spacing w:line="276" w:lineRule="auto"/>
              <w:ind w:left="284" w:right="284" w:hanging="284"/>
              <w:rPr>
                <w:rFonts w:cs="Calibri"/>
                <w:color w:val="231F20"/>
                <w:szCs w:val="22"/>
                <w:lang w:eastAsia="en-GB"/>
              </w:rPr>
            </w:pPr>
            <w:r w:rsidRPr="00DD4BFE">
              <w:rPr>
                <w:rFonts w:cs="Calibri"/>
                <w:color w:val="231F20"/>
                <w:szCs w:val="22"/>
                <w:lang w:eastAsia="en-GB"/>
              </w:rPr>
              <w:t xml:space="preserve">For ‘Overall decision’ insert </w:t>
            </w:r>
            <w:r w:rsidRPr="009E6E06">
              <w:rPr>
                <w:rFonts w:cs="Calibri"/>
                <w:b/>
                <w:color w:val="231F20"/>
                <w:szCs w:val="22"/>
                <w:lang w:eastAsia="en-GB"/>
              </w:rPr>
              <w:t>Award</w:t>
            </w:r>
            <w:r w:rsidRPr="00DD4BFE">
              <w:rPr>
                <w:rFonts w:cs="Calibri"/>
                <w:color w:val="231F20"/>
                <w:szCs w:val="22"/>
                <w:lang w:eastAsia="en-GB"/>
              </w:rPr>
              <w:t xml:space="preserve">, </w:t>
            </w:r>
            <w:r w:rsidRPr="009E6E06">
              <w:rPr>
                <w:rFonts w:cs="Calibri"/>
                <w:b/>
                <w:color w:val="231F20"/>
                <w:szCs w:val="22"/>
                <w:lang w:eastAsia="en-GB"/>
              </w:rPr>
              <w:t>APC</w:t>
            </w:r>
            <w:r w:rsidRPr="00DD4BFE">
              <w:rPr>
                <w:rFonts w:cs="Calibri"/>
                <w:color w:val="231F20"/>
                <w:szCs w:val="22"/>
                <w:lang w:eastAsia="en-GB"/>
              </w:rPr>
              <w:t xml:space="preserve"> or </w:t>
            </w:r>
            <w:r w:rsidRPr="009E6E06">
              <w:rPr>
                <w:rFonts w:cs="Calibri"/>
                <w:b/>
                <w:color w:val="231F20"/>
                <w:szCs w:val="22"/>
                <w:lang w:eastAsia="en-GB"/>
              </w:rPr>
              <w:t>Refer</w:t>
            </w:r>
            <w:r w:rsidRPr="00DD4BFE">
              <w:rPr>
                <w:rFonts w:cs="Calibri"/>
                <w:color w:val="231F20"/>
                <w:szCs w:val="22"/>
                <w:lang w:eastAsia="en-GB"/>
              </w:rPr>
              <w:t>, as appropriate:</w:t>
            </w:r>
          </w:p>
          <w:p w14:paraId="60423B51" w14:textId="77777777" w:rsidR="00DD4BFE" w:rsidRPr="00DD4BFE" w:rsidRDefault="00DD4BFE" w:rsidP="007A727F">
            <w:pPr>
              <w:rPr>
                <w:szCs w:val="22"/>
              </w:rPr>
            </w:pPr>
            <w:r w:rsidRPr="00B823F4">
              <w:rPr>
                <w:b/>
                <w:szCs w:val="22"/>
              </w:rPr>
              <w:t>Award</w:t>
            </w:r>
            <w:r w:rsidRPr="00DD4BFE">
              <w:rPr>
                <w:szCs w:val="22"/>
              </w:rPr>
              <w:t>: all criteria have been met; comment if there are substantial strengths which it would be good to share with the applicant</w:t>
            </w:r>
          </w:p>
          <w:p w14:paraId="67EA82AB" w14:textId="77777777" w:rsidR="00DD4BFE" w:rsidRPr="00DD4BFE" w:rsidRDefault="00DD4BFE" w:rsidP="007A727F">
            <w:pPr>
              <w:rPr>
                <w:szCs w:val="22"/>
              </w:rPr>
            </w:pPr>
            <w:r w:rsidRPr="00B823F4">
              <w:rPr>
                <w:b/>
                <w:szCs w:val="22"/>
              </w:rPr>
              <w:t>APC</w:t>
            </w:r>
            <w:r w:rsidRPr="00DD4BFE">
              <w:rPr>
                <w:szCs w:val="22"/>
              </w:rPr>
              <w:t>: one or more Dimensions require clarification before a final decision can be made. The candidate will be invited to consider Reviewers’ feedback and prepare to justify how they have met the requirements of the Dimension(s). This process is carried out via dialogue with one or more members of the Panel and lasts no longer than 20 minutes. It is the candidate’s responsibility to contact the Lead reviewer to arrange this dialogue and the EDS will advise the date by which the dialogue should take place. The Lead Reviewer should advise EDS of the final decision, no later than one week of the dialogue taking place.</w:t>
            </w:r>
          </w:p>
          <w:p w14:paraId="65CB6F92" w14:textId="42383A85" w:rsidR="00DD4BFE" w:rsidRDefault="00DD4BFE" w:rsidP="007A727F">
            <w:pPr>
              <w:rPr>
                <w:rFonts w:cs="Calibri"/>
                <w:color w:val="231F20"/>
                <w:szCs w:val="22"/>
                <w:lang w:eastAsia="en-GB"/>
              </w:rPr>
            </w:pPr>
            <w:r w:rsidRPr="00B823F4">
              <w:rPr>
                <w:b/>
                <w:szCs w:val="22"/>
              </w:rPr>
              <w:t>Refer</w:t>
            </w:r>
            <w:r w:rsidRPr="00DD4BFE">
              <w:rPr>
                <w:szCs w:val="22"/>
              </w:rPr>
              <w:t xml:space="preserve">: one or more Dimensions were insufficiently covered. The candidate will be directed to use Reviewers’ feedback in preparing for a re-submission and should therefore </w:t>
            </w:r>
            <w:r w:rsidRPr="00DD4BFE">
              <w:rPr>
                <w:rFonts w:cs="Calibri"/>
                <w:color w:val="231F20"/>
                <w:szCs w:val="22"/>
                <w:lang w:eastAsia="en-GB"/>
              </w:rPr>
              <w:t xml:space="preserve">indicate what the applicant needs to do to achieve Award. </w:t>
            </w:r>
            <w:r>
              <w:rPr>
                <w:rFonts w:cs="Calibri"/>
                <w:color w:val="231F20"/>
                <w:szCs w:val="22"/>
                <w:lang w:eastAsia="en-GB"/>
              </w:rPr>
              <w:t xml:space="preserve"> </w:t>
            </w:r>
          </w:p>
          <w:p w14:paraId="0229D750" w14:textId="77777777" w:rsidR="00B823F4" w:rsidRPr="00DD4BFE" w:rsidRDefault="00B823F4" w:rsidP="007A727F">
            <w:pPr>
              <w:rPr>
                <w:rFonts w:cs="Calibri"/>
                <w:color w:val="231F20"/>
                <w:szCs w:val="22"/>
                <w:lang w:eastAsia="en-GB"/>
              </w:rPr>
            </w:pPr>
          </w:p>
          <w:p w14:paraId="5B6CB4E1" w14:textId="77777777" w:rsidR="00DD4BFE" w:rsidRDefault="00DD4BFE" w:rsidP="00B823F4">
            <w:pPr>
              <w:rPr>
                <w:rFonts w:cs="Calibri"/>
                <w:color w:val="231F20"/>
                <w:szCs w:val="22"/>
                <w:lang w:eastAsia="en-GB"/>
              </w:rPr>
            </w:pPr>
            <w:r w:rsidRPr="00DD4BFE">
              <w:rPr>
                <w:rFonts w:cs="Calibri"/>
                <w:color w:val="231F20"/>
                <w:szCs w:val="22"/>
                <w:lang w:eastAsia="en-GB"/>
              </w:rPr>
              <w:t xml:space="preserve">Please </w:t>
            </w:r>
            <w:r w:rsidR="009E6E06">
              <w:rPr>
                <w:rFonts w:cs="Calibri"/>
                <w:color w:val="231F20"/>
                <w:szCs w:val="22"/>
                <w:lang w:eastAsia="en-GB"/>
              </w:rPr>
              <w:t>label</w:t>
            </w:r>
            <w:r w:rsidRPr="00DD4BFE">
              <w:rPr>
                <w:rFonts w:cs="Calibri"/>
                <w:color w:val="231F20"/>
                <w:szCs w:val="22"/>
                <w:lang w:eastAsia="en-GB"/>
              </w:rPr>
              <w:t xml:space="preserve"> the Review form ‘</w:t>
            </w:r>
            <w:r w:rsidRPr="009E6E06">
              <w:rPr>
                <w:rFonts w:cs="Calibri"/>
                <w:b/>
                <w:color w:val="231F20"/>
                <w:szCs w:val="22"/>
                <w:lang w:eastAsia="en-GB"/>
              </w:rPr>
              <w:t>NAME_CATEGORY_DECISION</w:t>
            </w:r>
            <w:r w:rsidRPr="009E6E06">
              <w:rPr>
                <w:rFonts w:cs="Calibri"/>
                <w:color w:val="231F20"/>
                <w:szCs w:val="22"/>
                <w:lang w:eastAsia="en-GB"/>
              </w:rPr>
              <w:t>’</w:t>
            </w:r>
            <w:r w:rsidRPr="00DD4BFE">
              <w:rPr>
                <w:rFonts w:cs="Calibri"/>
                <w:color w:val="231F20"/>
                <w:szCs w:val="22"/>
                <w:lang w:eastAsia="en-GB"/>
              </w:rPr>
              <w:t xml:space="preserve"> e.g. ‘SMITH_D</w:t>
            </w:r>
            <w:r w:rsidR="00B823F4">
              <w:rPr>
                <w:rFonts w:cs="Calibri"/>
                <w:color w:val="231F20"/>
                <w:szCs w:val="22"/>
                <w:lang w:eastAsia="en-GB"/>
              </w:rPr>
              <w:t>3</w:t>
            </w:r>
            <w:r w:rsidRPr="00DD4BFE">
              <w:rPr>
                <w:rFonts w:cs="Calibri"/>
                <w:color w:val="231F20"/>
                <w:szCs w:val="22"/>
                <w:lang w:eastAsia="en-GB"/>
              </w:rPr>
              <w:t>_REFER</w:t>
            </w:r>
            <w:r w:rsidR="003E1700">
              <w:rPr>
                <w:rFonts w:cs="Calibri"/>
                <w:color w:val="231F20"/>
                <w:szCs w:val="22"/>
                <w:lang w:eastAsia="en-GB"/>
              </w:rPr>
              <w:t>’</w:t>
            </w:r>
            <w:r w:rsidRPr="00DD4BFE">
              <w:rPr>
                <w:rFonts w:cs="Calibri"/>
                <w:color w:val="231F20"/>
                <w:szCs w:val="22"/>
                <w:lang w:eastAsia="en-GB"/>
              </w:rPr>
              <w:t xml:space="preserve"> and return the form to </w:t>
            </w:r>
            <w:hyperlink r:id="rId8" w:history="1">
              <w:r w:rsidRPr="00DD4BFE">
                <w:rPr>
                  <w:rStyle w:val="Hyperlink"/>
                  <w:rFonts w:cs="Calibri"/>
                  <w:szCs w:val="22"/>
                  <w:lang w:eastAsia="en-GB"/>
                </w:rPr>
                <w:t>psf@bcu.ac.uk</w:t>
              </w:r>
            </w:hyperlink>
            <w:r w:rsidRPr="00DD4BFE">
              <w:rPr>
                <w:rFonts w:cs="Calibri"/>
                <w:color w:val="231F20"/>
                <w:szCs w:val="22"/>
                <w:lang w:eastAsia="en-GB"/>
              </w:rPr>
              <w:t xml:space="preserve">, by the agreed date. </w:t>
            </w:r>
          </w:p>
          <w:p w14:paraId="10A1998C" w14:textId="4BCEE67A" w:rsidR="00B823F4" w:rsidRPr="005237C1" w:rsidRDefault="00B823F4" w:rsidP="00B823F4">
            <w:pPr>
              <w:rPr>
                <w:rFonts w:cs="Calibri"/>
                <w:color w:val="231F20"/>
                <w:sz w:val="24"/>
                <w:lang w:eastAsia="en-GB"/>
              </w:rPr>
            </w:pPr>
          </w:p>
        </w:tc>
      </w:tr>
    </w:tbl>
    <w:p w14:paraId="06A23617" w14:textId="2493A19F" w:rsidR="00DD4BFE" w:rsidRDefault="00DD4BFE" w:rsidP="00D66EA5">
      <w:pPr>
        <w:rPr>
          <w:sz w:val="24"/>
          <w:lang w:eastAsia="en-GB"/>
        </w:rPr>
      </w:pPr>
    </w:p>
    <w:p w14:paraId="0C8FB178" w14:textId="233C2C29" w:rsidR="00DD4BFE" w:rsidRDefault="00DD4BFE" w:rsidP="00D66EA5">
      <w:pPr>
        <w:rPr>
          <w:sz w:val="24"/>
          <w:lang w:eastAsia="en-GB"/>
        </w:rPr>
      </w:pPr>
    </w:p>
    <w:p w14:paraId="5676E2FB" w14:textId="425EFDF4" w:rsidR="00DD4BFE" w:rsidRDefault="00B823F4" w:rsidP="00D66EA5">
      <w:pPr>
        <w:rPr>
          <w:sz w:val="24"/>
          <w:lang w:eastAsia="en-GB"/>
        </w:rPr>
      </w:pPr>
      <w:r w:rsidRPr="00270954">
        <w:rPr>
          <w:rFonts w:eastAsiaTheme="minorHAnsi" w:cs="Calibri"/>
          <w:noProof/>
          <w:color w:val="000000"/>
          <w:sz w:val="24"/>
          <w:lang w:eastAsia="en-GB"/>
        </w:rPr>
        <w:drawing>
          <wp:anchor distT="0" distB="0" distL="114300" distR="114300" simplePos="0" relativeHeight="251659264" behindDoc="0" locked="0" layoutInCell="1" allowOverlap="1" wp14:anchorId="0ED7DA9B" wp14:editId="51415401">
            <wp:simplePos x="0" y="0"/>
            <wp:positionH relativeFrom="margin">
              <wp:align>left</wp:align>
            </wp:positionH>
            <wp:positionV relativeFrom="paragraph">
              <wp:posOffset>188690</wp:posOffset>
            </wp:positionV>
            <wp:extent cx="6290840" cy="3581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90840" cy="3581695"/>
                    </a:xfrm>
                    <a:prstGeom prst="rect">
                      <a:avLst/>
                    </a:prstGeom>
                  </pic:spPr>
                </pic:pic>
              </a:graphicData>
            </a:graphic>
            <wp14:sizeRelH relativeFrom="page">
              <wp14:pctWidth>0</wp14:pctWidth>
            </wp14:sizeRelH>
            <wp14:sizeRelV relativeFrom="page">
              <wp14:pctHeight>0</wp14:pctHeight>
            </wp14:sizeRelV>
          </wp:anchor>
        </w:drawing>
      </w:r>
    </w:p>
    <w:p w14:paraId="7BB751FA" w14:textId="1E47C50B" w:rsidR="00DD4BFE" w:rsidRDefault="00DD4BFE" w:rsidP="00D66EA5">
      <w:pPr>
        <w:rPr>
          <w:sz w:val="24"/>
          <w:lang w:eastAsia="en-GB"/>
        </w:rPr>
      </w:pPr>
    </w:p>
    <w:p w14:paraId="74DE9960" w14:textId="1638A635" w:rsidR="00DD4BFE" w:rsidRDefault="00DD4BFE" w:rsidP="00D66EA5">
      <w:pPr>
        <w:rPr>
          <w:sz w:val="24"/>
          <w:lang w:eastAsia="en-GB"/>
        </w:rPr>
      </w:pPr>
    </w:p>
    <w:p w14:paraId="164CEF70" w14:textId="0960803F" w:rsidR="00DD4BFE" w:rsidRDefault="00DD4BFE" w:rsidP="00D66EA5">
      <w:pPr>
        <w:rPr>
          <w:sz w:val="24"/>
          <w:lang w:eastAsia="en-GB"/>
        </w:rPr>
      </w:pPr>
    </w:p>
    <w:p w14:paraId="5624A5B6" w14:textId="77777777" w:rsidR="00DD4BFE" w:rsidRPr="005237C1" w:rsidRDefault="00DD4BFE" w:rsidP="00D66EA5">
      <w:pPr>
        <w:rPr>
          <w:sz w:val="24"/>
          <w:lang w:eastAsia="en-GB"/>
        </w:rPr>
      </w:pPr>
    </w:p>
    <w:p w14:paraId="7933B8B2" w14:textId="22B6C12A" w:rsidR="00D66EA5" w:rsidRPr="00D66EA5" w:rsidRDefault="00D66EA5" w:rsidP="00D66EA5">
      <w:pPr>
        <w:tabs>
          <w:tab w:val="left" w:pos="5730"/>
        </w:tabs>
        <w:rPr>
          <w:lang w:eastAsia="en-GB"/>
        </w:rPr>
      </w:pPr>
    </w:p>
    <w:p w14:paraId="09FD1FF2" w14:textId="179BE34C" w:rsidR="00AC2BCA" w:rsidRPr="004D7652" w:rsidRDefault="00AC2BCA" w:rsidP="00D47EC1"/>
    <w:p w14:paraId="1A025531" w14:textId="3C0A9CED" w:rsidR="001C02B5" w:rsidRPr="004D7652" w:rsidRDefault="001C02B5" w:rsidP="00D47EC1"/>
    <w:p w14:paraId="7E32FEFE" w14:textId="416A9B06" w:rsidR="001C02B5" w:rsidRDefault="001C02B5" w:rsidP="00CB1331"/>
    <w:p w14:paraId="31CA0115" w14:textId="628828FB" w:rsidR="00D10088" w:rsidRDefault="00D10088" w:rsidP="00CB1331"/>
    <w:p w14:paraId="1C991A26" w14:textId="5B08782C" w:rsidR="00D10088" w:rsidRDefault="00D10088" w:rsidP="00CB1331"/>
    <w:p w14:paraId="6EF711B0" w14:textId="78EEC2B8" w:rsidR="00D10088" w:rsidRDefault="00D10088" w:rsidP="00CB1331"/>
    <w:p w14:paraId="7AB1156F" w14:textId="07F2B01A" w:rsidR="00D10088" w:rsidRDefault="00D10088" w:rsidP="00CB1331"/>
    <w:p w14:paraId="045A8A33" w14:textId="2CEC78E6" w:rsidR="00D10088" w:rsidRDefault="00D10088" w:rsidP="00CB1331"/>
    <w:p w14:paraId="06E6E9EC" w14:textId="16FA07DB" w:rsidR="00D10088" w:rsidRDefault="00D10088" w:rsidP="00CB1331"/>
    <w:p w14:paraId="110C2431" w14:textId="43DFB72B" w:rsidR="00D10088" w:rsidRDefault="00D10088" w:rsidP="00CB1331"/>
    <w:p w14:paraId="7882D2AC" w14:textId="6EC94232" w:rsidR="00D10088" w:rsidRDefault="00D10088" w:rsidP="00CB1331"/>
    <w:p w14:paraId="39FD7A51" w14:textId="40510EF7" w:rsidR="00D10088" w:rsidRDefault="00D10088" w:rsidP="00CB1331"/>
    <w:p w14:paraId="00B7F05A" w14:textId="33D05C58" w:rsidR="00D10088" w:rsidRDefault="00D10088" w:rsidP="00CB1331"/>
    <w:p w14:paraId="5B7376EE" w14:textId="3173F53D" w:rsidR="00D10088" w:rsidRDefault="00D10088" w:rsidP="00CB1331"/>
    <w:p w14:paraId="4893FBC7" w14:textId="43029EF6" w:rsidR="00D10088" w:rsidRDefault="00D10088" w:rsidP="00CB1331"/>
    <w:p w14:paraId="569908C0" w14:textId="1487919E" w:rsidR="00D10088" w:rsidRDefault="00D10088" w:rsidP="00CB1331"/>
    <w:p w14:paraId="2FEA0842" w14:textId="3385B366" w:rsidR="00D10088" w:rsidRDefault="00D10088" w:rsidP="00CB1331"/>
    <w:p w14:paraId="2B40178A" w14:textId="5B4EE214" w:rsidR="00D10088" w:rsidRDefault="00D10088" w:rsidP="00CB1331">
      <w:bookmarkStart w:id="0" w:name="_GoBack"/>
      <w:bookmarkEnd w:id="0"/>
    </w:p>
    <w:tbl>
      <w:tblPr>
        <w:tblStyle w:val="TableGrid2"/>
        <w:tblpPr w:leftFromText="180" w:rightFromText="180" w:vertAnchor="page" w:horzAnchor="margin" w:tblpY="1571"/>
        <w:tblW w:w="10058" w:type="dxa"/>
        <w:tblLayout w:type="fixed"/>
        <w:tblLook w:val="04A0" w:firstRow="1" w:lastRow="0" w:firstColumn="1" w:lastColumn="0" w:noHBand="0" w:noVBand="1"/>
      </w:tblPr>
      <w:tblGrid>
        <w:gridCol w:w="6033"/>
        <w:gridCol w:w="4025"/>
      </w:tblGrid>
      <w:tr w:rsidR="00D10088" w:rsidRPr="004D7652" w14:paraId="761D46C2" w14:textId="77777777" w:rsidTr="001B18BA">
        <w:trPr>
          <w:trHeight w:val="449"/>
        </w:trPr>
        <w:tc>
          <w:tcPr>
            <w:tcW w:w="6033" w:type="dxa"/>
            <w:shd w:val="clear" w:color="auto" w:fill="9CC2E5" w:themeFill="accent1" w:themeFillTint="99"/>
          </w:tcPr>
          <w:p w14:paraId="28AF2217" w14:textId="6E6B9C46" w:rsidR="00D10088" w:rsidRPr="00361771" w:rsidRDefault="00D10088" w:rsidP="00D10088">
            <w:pPr>
              <w:rPr>
                <w:rFonts w:eastAsia="SimSun" w:cs="Calibri"/>
                <w:szCs w:val="22"/>
                <w:lang w:eastAsia="ja-JP"/>
              </w:rPr>
            </w:pPr>
            <w:r>
              <w:rPr>
                <w:b/>
                <w:szCs w:val="22"/>
              </w:rPr>
              <w:t xml:space="preserve">All </w:t>
            </w:r>
            <w:r w:rsidRPr="00361771">
              <w:rPr>
                <w:b/>
                <w:szCs w:val="22"/>
              </w:rPr>
              <w:t>Areas of Activity</w:t>
            </w:r>
            <w:r>
              <w:rPr>
                <w:b/>
                <w:szCs w:val="22"/>
              </w:rPr>
              <w:t xml:space="preserve">, </w:t>
            </w:r>
            <w:r w:rsidRPr="00361771">
              <w:rPr>
                <w:rFonts w:eastAsia="SimSun" w:cs="Arial"/>
                <w:b/>
                <w:szCs w:val="22"/>
                <w:lang w:eastAsia="ja-JP"/>
              </w:rPr>
              <w:t>Core Knowledge</w:t>
            </w:r>
            <w:r w:rsidRPr="00361771">
              <w:rPr>
                <w:b/>
                <w:szCs w:val="22"/>
              </w:rPr>
              <w:t xml:space="preserve"> </w:t>
            </w:r>
            <w:r w:rsidRPr="00361771">
              <w:rPr>
                <w:b/>
                <w:szCs w:val="22"/>
              </w:rPr>
              <w:t xml:space="preserve">and Professional Values must be evident. </w:t>
            </w:r>
          </w:p>
        </w:tc>
        <w:tc>
          <w:tcPr>
            <w:tcW w:w="4025" w:type="dxa"/>
            <w:vMerge w:val="restart"/>
            <w:shd w:val="clear" w:color="auto" w:fill="9CC2E5" w:themeFill="accent1" w:themeFillTint="99"/>
          </w:tcPr>
          <w:p w14:paraId="61BBA106" w14:textId="77777777" w:rsidR="00D10088" w:rsidRPr="00450A80" w:rsidRDefault="00D10088" w:rsidP="001B18BA">
            <w:pPr>
              <w:rPr>
                <w:szCs w:val="22"/>
              </w:rPr>
            </w:pPr>
            <w:r w:rsidRPr="00450A80">
              <w:rPr>
                <w:szCs w:val="22"/>
              </w:rPr>
              <w:t xml:space="preserve">Some reviewers find it helpful to use this as a ‘marking grid’, for </w:t>
            </w:r>
            <w:r w:rsidRPr="00450A80">
              <w:rPr>
                <w:szCs w:val="22"/>
              </w:rPr>
              <w:sym w:font="Wingdings" w:char="F0FC"/>
            </w:r>
            <w:r w:rsidRPr="00450A80">
              <w:rPr>
                <w:szCs w:val="22"/>
              </w:rPr>
              <w:t xml:space="preserve"> or their notes, to support the Panel discussion. This is optional, for your own use only – there is no requirement to complete this. </w:t>
            </w:r>
          </w:p>
        </w:tc>
      </w:tr>
      <w:tr w:rsidR="00D10088" w:rsidRPr="004D7652" w14:paraId="304B0F0F" w14:textId="77777777" w:rsidTr="001B18BA">
        <w:trPr>
          <w:trHeight w:val="312"/>
        </w:trPr>
        <w:tc>
          <w:tcPr>
            <w:tcW w:w="6033" w:type="dxa"/>
            <w:shd w:val="clear" w:color="auto" w:fill="DEEAF6" w:themeFill="accent1" w:themeFillTint="33"/>
            <w:vAlign w:val="center"/>
          </w:tcPr>
          <w:p w14:paraId="5C3069AD" w14:textId="77777777" w:rsidR="00D10088" w:rsidRPr="00361771" w:rsidRDefault="00D10088" w:rsidP="001B18BA">
            <w:pPr>
              <w:autoSpaceDE w:val="0"/>
              <w:autoSpaceDN w:val="0"/>
              <w:adjustRightInd w:val="0"/>
              <w:spacing w:after="160" w:line="259" w:lineRule="auto"/>
              <w:ind w:left="284" w:hanging="284"/>
              <w:rPr>
                <w:rFonts w:eastAsia="SimSun" w:cs="Calibri"/>
                <w:b/>
                <w:szCs w:val="22"/>
                <w:lang w:eastAsia="ja-JP"/>
              </w:rPr>
            </w:pPr>
            <w:r w:rsidRPr="00361771">
              <w:rPr>
                <w:rFonts w:eastAsia="SimSun" w:cs="Calibri"/>
                <w:b/>
                <w:szCs w:val="22"/>
                <w:lang w:eastAsia="ja-JP"/>
              </w:rPr>
              <w:t>Areas of Activity</w:t>
            </w:r>
          </w:p>
        </w:tc>
        <w:tc>
          <w:tcPr>
            <w:tcW w:w="4025" w:type="dxa"/>
            <w:vMerge/>
            <w:shd w:val="clear" w:color="auto" w:fill="DEEAF6" w:themeFill="accent1" w:themeFillTint="33"/>
          </w:tcPr>
          <w:p w14:paraId="4852EC96" w14:textId="77777777" w:rsidR="00D10088" w:rsidRPr="00361771" w:rsidRDefault="00D10088" w:rsidP="001B18BA">
            <w:pPr>
              <w:autoSpaceDE w:val="0"/>
              <w:autoSpaceDN w:val="0"/>
              <w:adjustRightInd w:val="0"/>
              <w:spacing w:after="160" w:line="259" w:lineRule="auto"/>
              <w:ind w:left="284" w:hanging="284"/>
              <w:jc w:val="center"/>
              <w:rPr>
                <w:rFonts w:eastAsia="SimSun" w:cs="Calibri"/>
                <w:b/>
                <w:szCs w:val="22"/>
                <w:lang w:eastAsia="ja-JP"/>
              </w:rPr>
            </w:pPr>
          </w:p>
        </w:tc>
      </w:tr>
      <w:tr w:rsidR="00D10088" w:rsidRPr="004D7652" w14:paraId="2664A1D1" w14:textId="77777777" w:rsidTr="001B18BA">
        <w:trPr>
          <w:trHeight w:val="607"/>
        </w:trPr>
        <w:tc>
          <w:tcPr>
            <w:tcW w:w="6033" w:type="dxa"/>
          </w:tcPr>
          <w:p w14:paraId="4A8D80C0" w14:textId="77777777" w:rsidR="00D10088" w:rsidRPr="00450A80" w:rsidRDefault="00D10088" w:rsidP="001B18BA">
            <w:pPr>
              <w:autoSpaceDE w:val="0"/>
              <w:autoSpaceDN w:val="0"/>
              <w:adjustRightInd w:val="0"/>
              <w:spacing w:after="160" w:line="259" w:lineRule="auto"/>
              <w:ind w:left="284" w:hanging="284"/>
              <w:rPr>
                <w:rFonts w:eastAsia="SimSun" w:cs="Calibri"/>
                <w:color w:val="231F20"/>
                <w:sz w:val="20"/>
                <w:szCs w:val="20"/>
                <w:lang w:eastAsia="en-GB"/>
              </w:rPr>
            </w:pPr>
            <w:r w:rsidRPr="00450A80">
              <w:rPr>
                <w:rFonts w:eastAsia="SimSun" w:cs="Calibri"/>
                <w:sz w:val="20"/>
                <w:szCs w:val="20"/>
                <w:lang w:eastAsia="ja-JP"/>
              </w:rPr>
              <w:t>A1 Design and plan learning activities and/or programmes of study</w:t>
            </w:r>
          </w:p>
        </w:tc>
        <w:tc>
          <w:tcPr>
            <w:tcW w:w="4025" w:type="dxa"/>
          </w:tcPr>
          <w:p w14:paraId="31911879" w14:textId="77777777" w:rsidR="00D10088" w:rsidRPr="00361771" w:rsidRDefault="00D10088" w:rsidP="001B18BA">
            <w:pPr>
              <w:autoSpaceDE w:val="0"/>
              <w:autoSpaceDN w:val="0"/>
              <w:adjustRightInd w:val="0"/>
              <w:spacing w:after="160" w:line="259" w:lineRule="auto"/>
              <w:ind w:left="284" w:hanging="284"/>
              <w:rPr>
                <w:rFonts w:eastAsia="SimSun" w:cs="Calibri"/>
                <w:szCs w:val="22"/>
                <w:lang w:eastAsia="ja-JP"/>
              </w:rPr>
            </w:pPr>
          </w:p>
        </w:tc>
      </w:tr>
      <w:tr w:rsidR="00D10088" w:rsidRPr="004D7652" w14:paraId="6C34EDFE" w14:textId="77777777" w:rsidTr="001B18BA">
        <w:trPr>
          <w:trHeight w:val="566"/>
        </w:trPr>
        <w:tc>
          <w:tcPr>
            <w:tcW w:w="6033" w:type="dxa"/>
          </w:tcPr>
          <w:p w14:paraId="7DA089D1" w14:textId="77777777" w:rsidR="00D10088" w:rsidRPr="00450A80" w:rsidRDefault="00D10088" w:rsidP="001B18BA">
            <w:pPr>
              <w:spacing w:after="160" w:line="259" w:lineRule="auto"/>
              <w:ind w:left="284" w:hanging="284"/>
              <w:rPr>
                <w:rFonts w:eastAsia="SimSun" w:cs="Calibri"/>
                <w:sz w:val="20"/>
                <w:szCs w:val="20"/>
                <w:lang w:eastAsia="ja-JP"/>
              </w:rPr>
            </w:pPr>
            <w:r w:rsidRPr="00450A80">
              <w:rPr>
                <w:rFonts w:eastAsia="SimSun" w:cs="Calibri"/>
                <w:sz w:val="20"/>
                <w:szCs w:val="20"/>
                <w:lang w:eastAsia="ja-JP"/>
              </w:rPr>
              <w:t>A2  Teach and/or support learning</w:t>
            </w:r>
          </w:p>
        </w:tc>
        <w:tc>
          <w:tcPr>
            <w:tcW w:w="4025" w:type="dxa"/>
          </w:tcPr>
          <w:p w14:paraId="12D40E4A" w14:textId="77777777" w:rsidR="00D10088" w:rsidRPr="00361771" w:rsidRDefault="00D10088" w:rsidP="001B18BA">
            <w:pPr>
              <w:spacing w:after="160" w:line="259" w:lineRule="auto"/>
              <w:ind w:left="284" w:hanging="284"/>
              <w:rPr>
                <w:rFonts w:eastAsia="SimSun" w:cs="Calibri"/>
                <w:szCs w:val="22"/>
                <w:lang w:eastAsia="ja-JP"/>
              </w:rPr>
            </w:pPr>
          </w:p>
        </w:tc>
      </w:tr>
      <w:tr w:rsidR="00D10088" w:rsidRPr="004D7652" w14:paraId="5692824D" w14:textId="77777777" w:rsidTr="001B18BA">
        <w:trPr>
          <w:trHeight w:val="560"/>
        </w:trPr>
        <w:tc>
          <w:tcPr>
            <w:tcW w:w="6033" w:type="dxa"/>
          </w:tcPr>
          <w:p w14:paraId="459B238E" w14:textId="77777777" w:rsidR="00D10088" w:rsidRPr="00450A80" w:rsidRDefault="00D10088" w:rsidP="001B18BA">
            <w:pPr>
              <w:adjustRightInd w:val="0"/>
              <w:spacing w:after="120" w:line="259" w:lineRule="auto"/>
              <w:ind w:left="284" w:hanging="284"/>
              <w:rPr>
                <w:rFonts w:eastAsia="SimSun" w:cs="Calibri"/>
                <w:color w:val="231F20"/>
                <w:sz w:val="20"/>
                <w:szCs w:val="20"/>
                <w:lang w:eastAsia="en-GB"/>
              </w:rPr>
            </w:pPr>
            <w:r w:rsidRPr="00450A80">
              <w:rPr>
                <w:rFonts w:eastAsia="SimSun" w:cs="Calibri"/>
                <w:sz w:val="20"/>
                <w:szCs w:val="20"/>
                <w:lang w:eastAsia="ja-JP"/>
              </w:rPr>
              <w:t>A3  Assess and give feedback to learners</w:t>
            </w:r>
          </w:p>
        </w:tc>
        <w:tc>
          <w:tcPr>
            <w:tcW w:w="4025" w:type="dxa"/>
          </w:tcPr>
          <w:p w14:paraId="6BAFE935" w14:textId="77777777" w:rsidR="00D10088" w:rsidRPr="00361771" w:rsidRDefault="00D10088" w:rsidP="001B18BA">
            <w:pPr>
              <w:adjustRightInd w:val="0"/>
              <w:spacing w:after="120" w:line="259" w:lineRule="auto"/>
              <w:ind w:left="284" w:hanging="284"/>
              <w:rPr>
                <w:rFonts w:eastAsia="SimSun" w:cs="Calibri"/>
                <w:szCs w:val="22"/>
                <w:lang w:eastAsia="ja-JP"/>
              </w:rPr>
            </w:pPr>
          </w:p>
        </w:tc>
      </w:tr>
      <w:tr w:rsidR="00D10088" w:rsidRPr="004D7652" w14:paraId="7061211F" w14:textId="77777777" w:rsidTr="001B18BA">
        <w:trPr>
          <w:trHeight w:val="394"/>
        </w:trPr>
        <w:tc>
          <w:tcPr>
            <w:tcW w:w="6033" w:type="dxa"/>
          </w:tcPr>
          <w:p w14:paraId="4D9D9B1D" w14:textId="77777777" w:rsidR="00D10088" w:rsidRPr="00450A80" w:rsidRDefault="00D10088"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A4  Develop effective learning environments and approaches to student support and guidance</w:t>
            </w:r>
          </w:p>
        </w:tc>
        <w:tc>
          <w:tcPr>
            <w:tcW w:w="4025" w:type="dxa"/>
          </w:tcPr>
          <w:p w14:paraId="32548AE4" w14:textId="77777777" w:rsidR="00D10088" w:rsidRPr="00361771" w:rsidRDefault="00D10088" w:rsidP="001B18BA">
            <w:pPr>
              <w:autoSpaceDE w:val="0"/>
              <w:autoSpaceDN w:val="0"/>
              <w:adjustRightInd w:val="0"/>
              <w:spacing w:after="160" w:line="259" w:lineRule="auto"/>
              <w:ind w:left="284" w:hanging="284"/>
              <w:rPr>
                <w:rFonts w:eastAsia="SimSun" w:cs="Calibri"/>
                <w:szCs w:val="22"/>
                <w:lang w:eastAsia="en-GB"/>
              </w:rPr>
            </w:pPr>
          </w:p>
        </w:tc>
      </w:tr>
      <w:tr w:rsidR="00D10088" w:rsidRPr="004D7652" w14:paraId="5D2A65EF" w14:textId="77777777" w:rsidTr="001B18BA">
        <w:trPr>
          <w:trHeight w:val="633"/>
        </w:trPr>
        <w:tc>
          <w:tcPr>
            <w:tcW w:w="6033" w:type="dxa"/>
          </w:tcPr>
          <w:p w14:paraId="5940895D" w14:textId="77777777" w:rsidR="00D10088" w:rsidRPr="00450A80" w:rsidRDefault="00D10088"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A5  Engage in continuing professional development in subjects/disciplines and their pedagogy, incorporating research, scholarship and the evaluation of professional practices</w:t>
            </w:r>
          </w:p>
        </w:tc>
        <w:tc>
          <w:tcPr>
            <w:tcW w:w="4025" w:type="dxa"/>
          </w:tcPr>
          <w:p w14:paraId="1BE28C3B" w14:textId="77777777" w:rsidR="00D10088" w:rsidRPr="00361771" w:rsidRDefault="00D10088" w:rsidP="001B18BA">
            <w:pPr>
              <w:autoSpaceDE w:val="0"/>
              <w:autoSpaceDN w:val="0"/>
              <w:adjustRightInd w:val="0"/>
              <w:spacing w:after="160" w:line="259" w:lineRule="auto"/>
              <w:ind w:left="284" w:hanging="284"/>
              <w:rPr>
                <w:rFonts w:eastAsia="SimSun" w:cs="Calibri"/>
                <w:szCs w:val="22"/>
                <w:lang w:eastAsia="en-GB"/>
              </w:rPr>
            </w:pPr>
          </w:p>
        </w:tc>
      </w:tr>
      <w:tr w:rsidR="00D10088" w:rsidRPr="004D7652" w14:paraId="5B923383" w14:textId="77777777" w:rsidTr="001B18BA">
        <w:trPr>
          <w:trHeight w:val="453"/>
        </w:trPr>
        <w:tc>
          <w:tcPr>
            <w:tcW w:w="6033" w:type="dxa"/>
            <w:shd w:val="clear" w:color="auto" w:fill="DEEAF6" w:themeFill="accent1" w:themeFillTint="33"/>
          </w:tcPr>
          <w:p w14:paraId="3E956BFF" w14:textId="77777777" w:rsidR="00D10088" w:rsidRPr="00361771" w:rsidRDefault="00D10088" w:rsidP="001B18BA">
            <w:pPr>
              <w:spacing w:after="160" w:line="259" w:lineRule="auto"/>
              <w:ind w:left="284" w:hanging="284"/>
              <w:rPr>
                <w:rFonts w:eastAsia="SimSun" w:cs="Calibri"/>
                <w:szCs w:val="22"/>
                <w:lang w:eastAsia="ja-JP"/>
              </w:rPr>
            </w:pPr>
            <w:r w:rsidRPr="00361771">
              <w:rPr>
                <w:rFonts w:eastAsia="SimSun" w:cs="Arial"/>
                <w:b/>
                <w:szCs w:val="22"/>
                <w:lang w:eastAsia="ja-JP"/>
              </w:rPr>
              <w:t>Core Knowledge</w:t>
            </w:r>
          </w:p>
        </w:tc>
        <w:tc>
          <w:tcPr>
            <w:tcW w:w="4025" w:type="dxa"/>
            <w:shd w:val="clear" w:color="auto" w:fill="DEEAF6" w:themeFill="accent1" w:themeFillTint="33"/>
          </w:tcPr>
          <w:p w14:paraId="055CFE3E" w14:textId="77777777" w:rsidR="00D10088" w:rsidRPr="00361771" w:rsidRDefault="00D10088" w:rsidP="001B18BA">
            <w:pPr>
              <w:spacing w:after="160" w:line="259" w:lineRule="auto"/>
              <w:ind w:left="284" w:hanging="284"/>
              <w:jc w:val="center"/>
              <w:rPr>
                <w:rFonts w:eastAsia="SimSun" w:cs="Arial"/>
                <w:b/>
                <w:szCs w:val="22"/>
                <w:lang w:eastAsia="ja-JP"/>
              </w:rPr>
            </w:pPr>
          </w:p>
        </w:tc>
      </w:tr>
      <w:tr w:rsidR="00D10088" w:rsidRPr="004D7652" w14:paraId="1B93A2FE" w14:textId="77777777" w:rsidTr="001B18BA">
        <w:trPr>
          <w:trHeight w:val="698"/>
        </w:trPr>
        <w:tc>
          <w:tcPr>
            <w:tcW w:w="6033" w:type="dxa"/>
          </w:tcPr>
          <w:p w14:paraId="12CF2220" w14:textId="77777777" w:rsidR="00D10088" w:rsidRPr="00450A80" w:rsidRDefault="00D10088" w:rsidP="001B18BA">
            <w:pPr>
              <w:spacing w:after="160" w:line="259" w:lineRule="auto"/>
              <w:ind w:left="284" w:hanging="284"/>
              <w:rPr>
                <w:rFonts w:eastAsia="SimSun" w:cs="Calibri"/>
                <w:sz w:val="20"/>
                <w:szCs w:val="20"/>
                <w:lang w:eastAsia="ja-JP"/>
              </w:rPr>
            </w:pPr>
            <w:r w:rsidRPr="00450A80">
              <w:rPr>
                <w:rFonts w:eastAsia="SimSun" w:cs="Calibri"/>
                <w:sz w:val="20"/>
                <w:szCs w:val="20"/>
                <w:lang w:eastAsia="ja-JP"/>
              </w:rPr>
              <w:t>K1  The subject material</w:t>
            </w:r>
          </w:p>
        </w:tc>
        <w:tc>
          <w:tcPr>
            <w:tcW w:w="4025" w:type="dxa"/>
          </w:tcPr>
          <w:p w14:paraId="2F5CF0EE" w14:textId="77777777" w:rsidR="00D10088" w:rsidRPr="00361771" w:rsidRDefault="00D10088" w:rsidP="001B18BA">
            <w:pPr>
              <w:spacing w:after="160" w:line="259" w:lineRule="auto"/>
              <w:ind w:left="284" w:hanging="284"/>
              <w:rPr>
                <w:rFonts w:eastAsia="SimSun" w:cs="Calibri"/>
                <w:szCs w:val="22"/>
                <w:lang w:eastAsia="ja-JP"/>
              </w:rPr>
            </w:pPr>
          </w:p>
        </w:tc>
      </w:tr>
      <w:tr w:rsidR="00D10088" w:rsidRPr="004D7652" w14:paraId="02868A45" w14:textId="77777777" w:rsidTr="001B18BA">
        <w:trPr>
          <w:trHeight w:val="584"/>
        </w:trPr>
        <w:tc>
          <w:tcPr>
            <w:tcW w:w="6033" w:type="dxa"/>
          </w:tcPr>
          <w:p w14:paraId="09E0BD86" w14:textId="77777777" w:rsidR="00D10088" w:rsidRPr="00450A80" w:rsidRDefault="00D10088"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K2  Appropriate methods for teaching, learning and assessing in the subject area and at the level of the academic programme</w:t>
            </w:r>
          </w:p>
        </w:tc>
        <w:tc>
          <w:tcPr>
            <w:tcW w:w="4025" w:type="dxa"/>
          </w:tcPr>
          <w:p w14:paraId="0DD36997" w14:textId="77777777" w:rsidR="00D10088" w:rsidRPr="00361771" w:rsidRDefault="00D10088" w:rsidP="001B18BA">
            <w:pPr>
              <w:autoSpaceDE w:val="0"/>
              <w:autoSpaceDN w:val="0"/>
              <w:adjustRightInd w:val="0"/>
              <w:spacing w:after="160" w:line="259" w:lineRule="auto"/>
              <w:ind w:left="284" w:hanging="284"/>
              <w:rPr>
                <w:rFonts w:eastAsia="SimSun" w:cs="Calibri"/>
                <w:szCs w:val="22"/>
                <w:lang w:eastAsia="en-GB"/>
              </w:rPr>
            </w:pPr>
          </w:p>
        </w:tc>
      </w:tr>
      <w:tr w:rsidR="00D10088" w:rsidRPr="004D7652" w14:paraId="5805E716" w14:textId="77777777" w:rsidTr="001B18BA">
        <w:trPr>
          <w:trHeight w:val="468"/>
        </w:trPr>
        <w:tc>
          <w:tcPr>
            <w:tcW w:w="6033" w:type="dxa"/>
          </w:tcPr>
          <w:p w14:paraId="7E732652" w14:textId="77777777" w:rsidR="00D10088" w:rsidRPr="00450A80" w:rsidRDefault="00D10088" w:rsidP="001B18BA">
            <w:pPr>
              <w:adjustRightInd w:val="0"/>
              <w:spacing w:after="160" w:line="259" w:lineRule="auto"/>
              <w:ind w:left="284" w:right="284" w:hanging="284"/>
              <w:rPr>
                <w:rFonts w:eastAsia="SimSun" w:cs="Calibri"/>
                <w:color w:val="231F20"/>
                <w:sz w:val="20"/>
                <w:szCs w:val="20"/>
                <w:lang w:eastAsia="en-GB"/>
              </w:rPr>
            </w:pPr>
            <w:r w:rsidRPr="00450A80">
              <w:rPr>
                <w:rFonts w:eastAsia="SimSun" w:cs="Calibri"/>
                <w:sz w:val="20"/>
                <w:szCs w:val="20"/>
                <w:lang w:eastAsia="en-GB"/>
              </w:rPr>
              <w:t>K3  How students learn, both generally and within their subject/disciplinary area(s)</w:t>
            </w:r>
          </w:p>
        </w:tc>
        <w:tc>
          <w:tcPr>
            <w:tcW w:w="4025" w:type="dxa"/>
          </w:tcPr>
          <w:p w14:paraId="22920CE8" w14:textId="77777777" w:rsidR="00D10088" w:rsidRPr="00361771" w:rsidRDefault="00D10088" w:rsidP="001B18BA">
            <w:pPr>
              <w:adjustRightInd w:val="0"/>
              <w:spacing w:after="160" w:line="259" w:lineRule="auto"/>
              <w:ind w:left="284" w:right="284" w:hanging="284"/>
              <w:rPr>
                <w:rFonts w:eastAsia="SimSun" w:cs="Calibri"/>
                <w:szCs w:val="22"/>
                <w:lang w:eastAsia="en-GB"/>
              </w:rPr>
            </w:pPr>
          </w:p>
        </w:tc>
      </w:tr>
      <w:tr w:rsidR="00D10088" w:rsidRPr="004D7652" w14:paraId="0F88C2C8" w14:textId="77777777" w:rsidTr="001B18BA">
        <w:trPr>
          <w:trHeight w:val="728"/>
        </w:trPr>
        <w:tc>
          <w:tcPr>
            <w:tcW w:w="6033" w:type="dxa"/>
          </w:tcPr>
          <w:p w14:paraId="757F29C8" w14:textId="77777777" w:rsidR="00D10088" w:rsidRPr="00450A80" w:rsidRDefault="00D10088" w:rsidP="001B18BA">
            <w:pPr>
              <w:adjustRightInd w:val="0"/>
              <w:spacing w:after="160" w:line="276" w:lineRule="auto"/>
              <w:ind w:left="284" w:right="284" w:hanging="284"/>
              <w:rPr>
                <w:rFonts w:eastAsia="SimSun" w:cs="Calibri"/>
                <w:color w:val="231F20"/>
                <w:sz w:val="20"/>
                <w:szCs w:val="20"/>
                <w:lang w:eastAsia="en-GB"/>
              </w:rPr>
            </w:pPr>
            <w:r w:rsidRPr="00450A80">
              <w:rPr>
                <w:rFonts w:eastAsia="SimSun" w:cs="Calibri"/>
                <w:sz w:val="20"/>
                <w:szCs w:val="20"/>
                <w:lang w:eastAsia="en-GB"/>
              </w:rPr>
              <w:t>K4  The use and value of appropriate learning technologies</w:t>
            </w:r>
          </w:p>
        </w:tc>
        <w:tc>
          <w:tcPr>
            <w:tcW w:w="4025" w:type="dxa"/>
          </w:tcPr>
          <w:p w14:paraId="2A72C1FD" w14:textId="77777777" w:rsidR="00D10088" w:rsidRPr="00361771" w:rsidRDefault="00D10088" w:rsidP="001B18BA">
            <w:pPr>
              <w:adjustRightInd w:val="0"/>
              <w:spacing w:after="160" w:line="276" w:lineRule="auto"/>
              <w:ind w:left="284" w:right="284" w:hanging="284"/>
              <w:rPr>
                <w:rFonts w:eastAsia="SimSun" w:cs="Calibri"/>
                <w:szCs w:val="22"/>
                <w:lang w:eastAsia="en-GB"/>
              </w:rPr>
            </w:pPr>
          </w:p>
        </w:tc>
      </w:tr>
      <w:tr w:rsidR="00D10088" w:rsidRPr="004D7652" w14:paraId="2A724E3F" w14:textId="77777777" w:rsidTr="001B18BA">
        <w:trPr>
          <w:trHeight w:val="696"/>
        </w:trPr>
        <w:tc>
          <w:tcPr>
            <w:tcW w:w="6033" w:type="dxa"/>
          </w:tcPr>
          <w:p w14:paraId="0CA52B28" w14:textId="77777777" w:rsidR="00D10088" w:rsidRPr="00450A80" w:rsidRDefault="00D10088" w:rsidP="001B18BA">
            <w:pPr>
              <w:adjustRightInd w:val="0"/>
              <w:spacing w:after="160" w:line="259" w:lineRule="auto"/>
              <w:ind w:left="284" w:right="284" w:hanging="284"/>
              <w:rPr>
                <w:rFonts w:eastAsia="SimSun" w:cs="Calibri"/>
                <w:color w:val="231F20"/>
                <w:sz w:val="20"/>
                <w:szCs w:val="20"/>
                <w:lang w:eastAsia="en-GB"/>
              </w:rPr>
            </w:pPr>
            <w:r w:rsidRPr="00450A80">
              <w:rPr>
                <w:rFonts w:eastAsia="SimSun" w:cs="Calibri"/>
                <w:sz w:val="20"/>
                <w:szCs w:val="20"/>
                <w:lang w:eastAsia="en-GB"/>
              </w:rPr>
              <w:t>K5  Methods for evaluating the effectiveness of teaching</w:t>
            </w:r>
          </w:p>
        </w:tc>
        <w:tc>
          <w:tcPr>
            <w:tcW w:w="4025" w:type="dxa"/>
          </w:tcPr>
          <w:p w14:paraId="37754F5C" w14:textId="77777777" w:rsidR="00D10088" w:rsidRPr="00361771" w:rsidRDefault="00D10088" w:rsidP="001B18BA">
            <w:pPr>
              <w:adjustRightInd w:val="0"/>
              <w:spacing w:after="160" w:line="259" w:lineRule="auto"/>
              <w:ind w:left="284" w:right="284" w:hanging="284"/>
              <w:rPr>
                <w:rFonts w:eastAsia="SimSun" w:cs="Calibri"/>
                <w:szCs w:val="22"/>
                <w:lang w:eastAsia="en-GB"/>
              </w:rPr>
            </w:pPr>
          </w:p>
        </w:tc>
      </w:tr>
      <w:tr w:rsidR="00D10088" w:rsidRPr="004D7652" w14:paraId="5A20BD5C" w14:textId="77777777" w:rsidTr="001B18BA">
        <w:trPr>
          <w:trHeight w:val="628"/>
        </w:trPr>
        <w:tc>
          <w:tcPr>
            <w:tcW w:w="6033" w:type="dxa"/>
          </w:tcPr>
          <w:p w14:paraId="7E3087D9" w14:textId="77777777" w:rsidR="00D10088" w:rsidRPr="00450A80" w:rsidRDefault="00D10088" w:rsidP="001B18BA">
            <w:pPr>
              <w:autoSpaceDE w:val="0"/>
              <w:autoSpaceDN w:val="0"/>
              <w:adjustRightInd w:val="0"/>
              <w:spacing w:after="160" w:line="259" w:lineRule="auto"/>
              <w:ind w:left="284" w:hanging="284"/>
              <w:rPr>
                <w:rFonts w:eastAsia="SimSun" w:cs="Calibri"/>
                <w:color w:val="231F20"/>
                <w:sz w:val="20"/>
                <w:szCs w:val="20"/>
                <w:lang w:eastAsia="en-GB"/>
              </w:rPr>
            </w:pPr>
            <w:r w:rsidRPr="00450A80">
              <w:rPr>
                <w:rFonts w:eastAsia="SimSun" w:cs="Calibri"/>
                <w:sz w:val="20"/>
                <w:szCs w:val="20"/>
                <w:lang w:eastAsia="en-GB"/>
              </w:rPr>
              <w:t>K6  The implications of quality assurance and quality enhancement for academic and professional practice with a particular focus on teaching</w:t>
            </w:r>
          </w:p>
        </w:tc>
        <w:tc>
          <w:tcPr>
            <w:tcW w:w="4025" w:type="dxa"/>
          </w:tcPr>
          <w:p w14:paraId="26D87C2E" w14:textId="77777777" w:rsidR="00D10088" w:rsidRPr="00361771" w:rsidRDefault="00D10088" w:rsidP="001B18BA">
            <w:pPr>
              <w:autoSpaceDE w:val="0"/>
              <w:autoSpaceDN w:val="0"/>
              <w:adjustRightInd w:val="0"/>
              <w:spacing w:after="160" w:line="259" w:lineRule="auto"/>
              <w:ind w:left="284" w:hanging="284"/>
              <w:rPr>
                <w:rFonts w:eastAsia="SimSun" w:cs="Calibri"/>
                <w:szCs w:val="22"/>
                <w:lang w:eastAsia="en-GB"/>
              </w:rPr>
            </w:pPr>
          </w:p>
        </w:tc>
      </w:tr>
      <w:tr w:rsidR="00D10088" w:rsidRPr="004D7652" w14:paraId="00CF34AC" w14:textId="77777777" w:rsidTr="001B18BA">
        <w:trPr>
          <w:trHeight w:val="281"/>
        </w:trPr>
        <w:tc>
          <w:tcPr>
            <w:tcW w:w="6033" w:type="dxa"/>
            <w:shd w:val="clear" w:color="auto" w:fill="DEEAF6" w:themeFill="accent1" w:themeFillTint="33"/>
          </w:tcPr>
          <w:p w14:paraId="350D6BA8" w14:textId="77777777" w:rsidR="00D10088" w:rsidRPr="00361771" w:rsidRDefault="00D10088" w:rsidP="001B18BA">
            <w:pPr>
              <w:adjustRightInd w:val="0"/>
              <w:spacing w:after="160" w:line="259" w:lineRule="auto"/>
              <w:ind w:left="284" w:right="284" w:hanging="284"/>
              <w:rPr>
                <w:rFonts w:eastAsia="SimSun" w:cs="Calibri"/>
                <w:szCs w:val="22"/>
                <w:lang w:eastAsia="en-GB"/>
              </w:rPr>
            </w:pPr>
            <w:r w:rsidRPr="00361771">
              <w:rPr>
                <w:rFonts w:eastAsia="SimSun" w:cs="Arial"/>
                <w:b/>
                <w:szCs w:val="22"/>
                <w:lang w:eastAsia="ja-JP"/>
              </w:rPr>
              <w:t>Professional Values</w:t>
            </w:r>
          </w:p>
        </w:tc>
        <w:tc>
          <w:tcPr>
            <w:tcW w:w="4025" w:type="dxa"/>
            <w:shd w:val="clear" w:color="auto" w:fill="DEEAF6" w:themeFill="accent1" w:themeFillTint="33"/>
          </w:tcPr>
          <w:p w14:paraId="5EE7E1D3" w14:textId="77777777" w:rsidR="00D10088" w:rsidRPr="00361771" w:rsidRDefault="00D10088" w:rsidP="001B18BA">
            <w:pPr>
              <w:adjustRightInd w:val="0"/>
              <w:spacing w:after="160" w:line="259" w:lineRule="auto"/>
              <w:ind w:left="284" w:right="284" w:hanging="284"/>
              <w:jc w:val="center"/>
              <w:rPr>
                <w:rFonts w:eastAsia="SimSun" w:cs="Arial"/>
                <w:b/>
                <w:szCs w:val="22"/>
                <w:lang w:eastAsia="ja-JP"/>
              </w:rPr>
            </w:pPr>
          </w:p>
        </w:tc>
      </w:tr>
      <w:tr w:rsidR="00D10088" w:rsidRPr="004D7652" w14:paraId="16965056" w14:textId="77777777" w:rsidTr="001B18BA">
        <w:trPr>
          <w:trHeight w:val="656"/>
        </w:trPr>
        <w:tc>
          <w:tcPr>
            <w:tcW w:w="6033" w:type="dxa"/>
          </w:tcPr>
          <w:p w14:paraId="282455DF" w14:textId="77777777" w:rsidR="00D10088" w:rsidRPr="00450A80" w:rsidRDefault="00D10088" w:rsidP="001B18BA">
            <w:pPr>
              <w:adjustRightInd w:val="0"/>
              <w:spacing w:after="160" w:line="259" w:lineRule="auto"/>
              <w:ind w:left="284" w:right="284" w:hanging="284"/>
              <w:rPr>
                <w:rFonts w:eastAsia="SimSun" w:cs="Calibri"/>
                <w:sz w:val="20"/>
                <w:szCs w:val="20"/>
                <w:lang w:eastAsia="en-GB"/>
              </w:rPr>
            </w:pPr>
            <w:r w:rsidRPr="00450A80">
              <w:rPr>
                <w:rFonts w:eastAsia="SimSun" w:cs="Calibri"/>
                <w:sz w:val="20"/>
                <w:szCs w:val="20"/>
                <w:lang w:eastAsia="en-GB"/>
              </w:rPr>
              <w:t>V1  Respect individual learners and diverse learning communities</w:t>
            </w:r>
          </w:p>
        </w:tc>
        <w:tc>
          <w:tcPr>
            <w:tcW w:w="4025" w:type="dxa"/>
          </w:tcPr>
          <w:p w14:paraId="14FF0603" w14:textId="77777777" w:rsidR="00D10088" w:rsidRPr="00361771" w:rsidRDefault="00D10088" w:rsidP="001B18BA">
            <w:pPr>
              <w:adjustRightInd w:val="0"/>
              <w:spacing w:after="160" w:line="259" w:lineRule="auto"/>
              <w:ind w:left="284" w:right="284" w:hanging="284"/>
              <w:rPr>
                <w:rFonts w:eastAsia="SimSun" w:cs="Calibri"/>
                <w:szCs w:val="22"/>
                <w:lang w:eastAsia="en-GB"/>
              </w:rPr>
            </w:pPr>
          </w:p>
        </w:tc>
      </w:tr>
      <w:tr w:rsidR="00D10088" w:rsidRPr="004D7652" w14:paraId="3E5976FA" w14:textId="77777777" w:rsidTr="001B18BA">
        <w:trPr>
          <w:trHeight w:val="453"/>
        </w:trPr>
        <w:tc>
          <w:tcPr>
            <w:tcW w:w="6033" w:type="dxa"/>
          </w:tcPr>
          <w:p w14:paraId="1F94A7A8" w14:textId="77777777" w:rsidR="00D10088" w:rsidRPr="00450A80" w:rsidRDefault="00D10088" w:rsidP="001B18BA">
            <w:pPr>
              <w:adjustRightInd w:val="0"/>
              <w:spacing w:after="160" w:line="259" w:lineRule="auto"/>
              <w:ind w:left="284" w:right="284" w:hanging="284"/>
              <w:rPr>
                <w:rFonts w:eastAsia="SimSun" w:cs="Calibri"/>
                <w:sz w:val="20"/>
                <w:szCs w:val="20"/>
                <w:lang w:eastAsia="ja-JP"/>
              </w:rPr>
            </w:pPr>
            <w:r w:rsidRPr="00450A80">
              <w:rPr>
                <w:rFonts w:eastAsia="SimSun" w:cs="Calibri"/>
                <w:sz w:val="20"/>
                <w:szCs w:val="20"/>
                <w:lang w:eastAsia="en-GB"/>
              </w:rPr>
              <w:t>V2  Promote participation in higher education and equality of opportunity for learners</w:t>
            </w:r>
          </w:p>
        </w:tc>
        <w:tc>
          <w:tcPr>
            <w:tcW w:w="4025" w:type="dxa"/>
          </w:tcPr>
          <w:p w14:paraId="24F0A0E7" w14:textId="77777777" w:rsidR="00D10088" w:rsidRPr="00361771" w:rsidRDefault="00D10088" w:rsidP="001B18BA">
            <w:pPr>
              <w:adjustRightInd w:val="0"/>
              <w:spacing w:after="160" w:line="259" w:lineRule="auto"/>
              <w:ind w:left="284" w:right="284" w:hanging="284"/>
              <w:rPr>
                <w:rFonts w:eastAsia="SimSun" w:cs="Calibri"/>
                <w:szCs w:val="22"/>
                <w:lang w:eastAsia="en-GB"/>
              </w:rPr>
            </w:pPr>
          </w:p>
        </w:tc>
      </w:tr>
      <w:tr w:rsidR="00D10088" w:rsidRPr="004D7652" w14:paraId="5679219D" w14:textId="77777777" w:rsidTr="001B18BA">
        <w:trPr>
          <w:trHeight w:val="539"/>
        </w:trPr>
        <w:tc>
          <w:tcPr>
            <w:tcW w:w="6033" w:type="dxa"/>
          </w:tcPr>
          <w:p w14:paraId="093627BB" w14:textId="77777777" w:rsidR="00D10088" w:rsidRPr="00450A80" w:rsidRDefault="00D10088"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V3  Use evidence-informed approaches and the outcomes from research, scholarship and continuing professional development</w:t>
            </w:r>
          </w:p>
        </w:tc>
        <w:tc>
          <w:tcPr>
            <w:tcW w:w="4025" w:type="dxa"/>
          </w:tcPr>
          <w:p w14:paraId="7D9EF710" w14:textId="77777777" w:rsidR="00D10088" w:rsidRPr="00361771" w:rsidRDefault="00D10088" w:rsidP="001B18BA">
            <w:pPr>
              <w:autoSpaceDE w:val="0"/>
              <w:autoSpaceDN w:val="0"/>
              <w:adjustRightInd w:val="0"/>
              <w:spacing w:after="160" w:line="259" w:lineRule="auto"/>
              <w:ind w:left="284" w:hanging="284"/>
              <w:rPr>
                <w:rFonts w:eastAsia="SimSun" w:cs="Calibri"/>
                <w:szCs w:val="22"/>
                <w:lang w:eastAsia="en-GB"/>
              </w:rPr>
            </w:pPr>
          </w:p>
        </w:tc>
      </w:tr>
      <w:tr w:rsidR="00D10088" w:rsidRPr="004D7652" w14:paraId="174AEC32" w14:textId="77777777" w:rsidTr="001B18BA">
        <w:trPr>
          <w:trHeight w:val="748"/>
        </w:trPr>
        <w:tc>
          <w:tcPr>
            <w:tcW w:w="6033" w:type="dxa"/>
          </w:tcPr>
          <w:p w14:paraId="000B672B" w14:textId="77777777" w:rsidR="00D10088" w:rsidRPr="00450A80" w:rsidRDefault="00D10088" w:rsidP="001B18BA">
            <w:pPr>
              <w:autoSpaceDE w:val="0"/>
              <w:autoSpaceDN w:val="0"/>
              <w:adjustRightInd w:val="0"/>
              <w:spacing w:after="160" w:line="259" w:lineRule="auto"/>
              <w:ind w:left="284" w:hanging="284"/>
              <w:rPr>
                <w:rFonts w:eastAsia="SimSun" w:cs="Calibri"/>
                <w:sz w:val="20"/>
                <w:szCs w:val="20"/>
                <w:lang w:eastAsia="en-GB"/>
              </w:rPr>
            </w:pPr>
            <w:r w:rsidRPr="00450A80">
              <w:rPr>
                <w:rFonts w:eastAsia="SimSun" w:cs="Calibri"/>
                <w:sz w:val="20"/>
                <w:szCs w:val="20"/>
                <w:lang w:eastAsia="en-GB"/>
              </w:rPr>
              <w:t>V4  Acknowledge the wider context in which higher education operates recognising the implications for professional practice</w:t>
            </w:r>
          </w:p>
        </w:tc>
        <w:tc>
          <w:tcPr>
            <w:tcW w:w="4025" w:type="dxa"/>
          </w:tcPr>
          <w:p w14:paraId="50819C02" w14:textId="77777777" w:rsidR="00D10088" w:rsidRPr="00361771" w:rsidRDefault="00D10088" w:rsidP="001B18BA">
            <w:pPr>
              <w:autoSpaceDE w:val="0"/>
              <w:autoSpaceDN w:val="0"/>
              <w:adjustRightInd w:val="0"/>
              <w:spacing w:after="160" w:line="259" w:lineRule="auto"/>
              <w:ind w:left="284" w:hanging="284"/>
              <w:rPr>
                <w:rFonts w:eastAsia="SimSun" w:cs="Calibri"/>
                <w:szCs w:val="22"/>
                <w:lang w:eastAsia="en-GB"/>
              </w:rPr>
            </w:pPr>
          </w:p>
        </w:tc>
      </w:tr>
    </w:tbl>
    <w:p w14:paraId="7C440981" w14:textId="77777777" w:rsidR="00D10088" w:rsidRPr="004D7652" w:rsidRDefault="00D10088" w:rsidP="00CB1331"/>
    <w:sectPr w:rsidR="00D10088" w:rsidRPr="004D7652" w:rsidSect="00AC2BC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1F86" w14:textId="77777777" w:rsidR="00C31F34" w:rsidRDefault="00C31F34" w:rsidP="00C31F34">
      <w:r>
        <w:separator/>
      </w:r>
    </w:p>
  </w:endnote>
  <w:endnote w:type="continuationSeparator" w:id="0">
    <w:p w14:paraId="53805743" w14:textId="77777777" w:rsidR="00C31F34" w:rsidRDefault="00C31F34" w:rsidP="00C3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6800" w14:textId="0A714F29" w:rsidR="00314F2B" w:rsidRPr="00314F2B" w:rsidRDefault="00D10088" w:rsidP="00314F2B">
    <w:pPr>
      <w:pStyle w:val="Footer"/>
      <w:jc w:val="right"/>
      <w:rPr>
        <w:caps/>
        <w:noProof/>
        <w:color w:val="5B9BD5" w:themeColor="accent1"/>
        <w:sz w:val="16"/>
        <w:szCs w:val="16"/>
      </w:rPr>
    </w:pPr>
    <w:r>
      <w:rPr>
        <w:caps/>
        <w:color w:val="5B9BD5" w:themeColor="accent1"/>
        <w:sz w:val="16"/>
        <w:szCs w:val="16"/>
      </w:rPr>
      <w:t>NOV</w:t>
    </w:r>
    <w:r w:rsidR="00D66EA5">
      <w:rPr>
        <w:caps/>
        <w:color w:val="5B9BD5" w:themeColor="accent1"/>
        <w:sz w:val="16"/>
        <w:szCs w:val="16"/>
      </w:rPr>
      <w:t xml:space="preserve"> </w:t>
    </w:r>
    <w:r w:rsidR="00314F2B" w:rsidRPr="00314F2B">
      <w:rPr>
        <w:caps/>
        <w:color w:val="5B9BD5" w:themeColor="accent1"/>
        <w:sz w:val="16"/>
        <w:szCs w:val="16"/>
      </w:rPr>
      <w:t>2019</w:t>
    </w:r>
  </w:p>
  <w:p w14:paraId="4FDDAC8B" w14:textId="77777777" w:rsidR="00314F2B" w:rsidRDefault="0031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9E88" w14:textId="77777777" w:rsidR="00C31F34" w:rsidRDefault="00C31F34" w:rsidP="00C31F34">
      <w:r>
        <w:separator/>
      </w:r>
    </w:p>
  </w:footnote>
  <w:footnote w:type="continuationSeparator" w:id="0">
    <w:p w14:paraId="665C51B8" w14:textId="77777777" w:rsidR="00C31F34" w:rsidRDefault="00C31F34" w:rsidP="00C3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D971" w14:textId="271A531F" w:rsidR="00C31F34" w:rsidRDefault="00D47EC1">
    <w:pPr>
      <w:pStyle w:val="Header"/>
    </w:pPr>
    <w:r w:rsidRPr="003F48DB">
      <w:rPr>
        <w:b/>
        <w:noProof/>
        <w:color w:val="FF0000"/>
        <w:sz w:val="32"/>
        <w:szCs w:val="32"/>
        <w:lang w:eastAsia="en-GB"/>
      </w:rPr>
      <mc:AlternateContent>
        <mc:Choice Requires="wps">
          <w:drawing>
            <wp:anchor distT="45720" distB="45720" distL="114300" distR="114300" simplePos="0" relativeHeight="251659264" behindDoc="0" locked="0" layoutInCell="1" allowOverlap="1" wp14:anchorId="58DFE917" wp14:editId="6FD51731">
              <wp:simplePos x="0" y="0"/>
              <wp:positionH relativeFrom="margin">
                <wp:posOffset>-88900</wp:posOffset>
              </wp:positionH>
              <wp:positionV relativeFrom="paragraph">
                <wp:posOffset>-113030</wp:posOffset>
              </wp:positionV>
              <wp:extent cx="4025900" cy="5276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527685"/>
                      </a:xfrm>
                      <a:prstGeom prst="rect">
                        <a:avLst/>
                      </a:prstGeom>
                      <a:solidFill>
                        <a:srgbClr val="FFFFFF"/>
                      </a:solidFill>
                      <a:ln w="9525">
                        <a:noFill/>
                        <a:miter lim="800000"/>
                        <a:headEnd/>
                        <a:tailEnd/>
                      </a:ln>
                    </wps:spPr>
                    <wps:txbx>
                      <w:txbxContent>
                        <w:p w14:paraId="07E266B7" w14:textId="2D4E0134" w:rsidR="00AC2BCA" w:rsidRPr="005237C1" w:rsidRDefault="00C51B7F" w:rsidP="00AC2BCA">
                          <w:pPr>
                            <w:rPr>
                              <w:b/>
                              <w:color w:val="0070C0"/>
                              <w:sz w:val="28"/>
                              <w:szCs w:val="28"/>
                              <w:lang w:val="en-US" w:eastAsia="ja-JP"/>
                            </w:rPr>
                          </w:pPr>
                          <w:r w:rsidRPr="005237C1">
                            <w:rPr>
                              <w:b/>
                              <w:color w:val="0070C0"/>
                              <w:sz w:val="28"/>
                              <w:szCs w:val="28"/>
                              <w:lang w:val="en-US" w:eastAsia="ja-JP"/>
                            </w:rPr>
                            <w:t>Reviewer guidance</w:t>
                          </w:r>
                          <w:r w:rsidR="00AC2BCA" w:rsidRPr="005237C1">
                            <w:rPr>
                              <w:b/>
                              <w:color w:val="0070C0"/>
                              <w:sz w:val="28"/>
                              <w:szCs w:val="28"/>
                              <w:lang w:val="en-US" w:eastAsia="ja-JP"/>
                            </w:rPr>
                            <w:t xml:space="preserve">: </w:t>
                          </w:r>
                          <w:r w:rsidR="00DB274B">
                            <w:rPr>
                              <w:b/>
                              <w:color w:val="0070C0"/>
                              <w:sz w:val="28"/>
                              <w:szCs w:val="28"/>
                              <w:lang w:val="en-US" w:eastAsia="ja-JP"/>
                            </w:rPr>
                            <w:t xml:space="preserve">Senior </w:t>
                          </w:r>
                          <w:r w:rsidR="00CF7A46">
                            <w:rPr>
                              <w:b/>
                              <w:color w:val="0070C0"/>
                              <w:sz w:val="28"/>
                              <w:szCs w:val="28"/>
                              <w:lang w:val="en-US" w:eastAsia="ja-JP"/>
                            </w:rPr>
                            <w:t>Fellow (</w:t>
                          </w:r>
                          <w:r w:rsidR="00DB274B">
                            <w:rPr>
                              <w:b/>
                              <w:color w:val="0070C0"/>
                              <w:sz w:val="28"/>
                              <w:szCs w:val="28"/>
                              <w:lang w:val="en-US" w:eastAsia="ja-JP"/>
                            </w:rPr>
                            <w:t>S</w:t>
                          </w:r>
                          <w:r w:rsidR="005237C1" w:rsidRPr="005237C1">
                            <w:rPr>
                              <w:b/>
                              <w:color w:val="0070C0"/>
                              <w:sz w:val="28"/>
                              <w:szCs w:val="28"/>
                              <w:lang w:val="en-US" w:eastAsia="ja-JP"/>
                            </w:rPr>
                            <w:t xml:space="preserve">FHEA, </w:t>
                          </w:r>
                          <w:r w:rsidR="00AC2BCA" w:rsidRPr="005237C1">
                            <w:rPr>
                              <w:b/>
                              <w:color w:val="0070C0"/>
                              <w:sz w:val="28"/>
                              <w:szCs w:val="28"/>
                              <w:lang w:val="en-US" w:eastAsia="ja-JP"/>
                            </w:rPr>
                            <w:t>D</w:t>
                          </w:r>
                          <w:r w:rsidR="00DB274B">
                            <w:rPr>
                              <w:b/>
                              <w:color w:val="0070C0"/>
                              <w:sz w:val="28"/>
                              <w:szCs w:val="28"/>
                              <w:lang w:val="en-US" w:eastAsia="ja-JP"/>
                            </w:rPr>
                            <w:t>3</w:t>
                          </w:r>
                          <w:r w:rsidR="00AC2BCA" w:rsidRPr="005237C1">
                            <w:rPr>
                              <w:b/>
                              <w:color w:val="0070C0"/>
                              <w:sz w:val="28"/>
                              <w:szCs w:val="28"/>
                              <w:lang w:val="en-US" w:eastAsia="ja-JP"/>
                            </w:rPr>
                            <w:t>)</w:t>
                          </w:r>
                        </w:p>
                        <w:p w14:paraId="3EF7D1A5" w14:textId="77777777" w:rsidR="00C31F34" w:rsidRDefault="00C31F34" w:rsidP="00C3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FE917" id="_x0000_t202" coordsize="21600,21600" o:spt="202" path="m,l,21600r21600,l21600,xe">
              <v:stroke joinstyle="miter"/>
              <v:path gradientshapeok="t" o:connecttype="rect"/>
            </v:shapetype>
            <v:shape id="Text Box 2" o:spid="_x0000_s1026" type="#_x0000_t202" style="position:absolute;margin-left:-7pt;margin-top:-8.9pt;width:317pt;height:4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T4IQIAAB0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" stroked="f">
              <v:textbox>
                <w:txbxContent>
                  <w:p w14:paraId="07E266B7" w14:textId="2D4E0134" w:rsidR="00AC2BCA" w:rsidRPr="005237C1" w:rsidRDefault="00C51B7F" w:rsidP="00AC2BCA">
                    <w:pPr>
                      <w:rPr>
                        <w:b/>
                        <w:color w:val="0070C0"/>
                        <w:sz w:val="28"/>
                        <w:szCs w:val="28"/>
                        <w:lang w:val="en-US" w:eastAsia="ja-JP"/>
                      </w:rPr>
                    </w:pPr>
                    <w:r w:rsidRPr="005237C1">
                      <w:rPr>
                        <w:b/>
                        <w:color w:val="0070C0"/>
                        <w:sz w:val="28"/>
                        <w:szCs w:val="28"/>
                        <w:lang w:val="en-US" w:eastAsia="ja-JP"/>
                      </w:rPr>
                      <w:t>Reviewer guidance</w:t>
                    </w:r>
                    <w:r w:rsidR="00AC2BCA" w:rsidRPr="005237C1">
                      <w:rPr>
                        <w:b/>
                        <w:color w:val="0070C0"/>
                        <w:sz w:val="28"/>
                        <w:szCs w:val="28"/>
                        <w:lang w:val="en-US" w:eastAsia="ja-JP"/>
                      </w:rPr>
                      <w:t xml:space="preserve">: </w:t>
                    </w:r>
                    <w:r w:rsidR="00DB274B">
                      <w:rPr>
                        <w:b/>
                        <w:color w:val="0070C0"/>
                        <w:sz w:val="28"/>
                        <w:szCs w:val="28"/>
                        <w:lang w:val="en-US" w:eastAsia="ja-JP"/>
                      </w:rPr>
                      <w:t xml:space="preserve">Senior </w:t>
                    </w:r>
                    <w:r w:rsidR="00CF7A46">
                      <w:rPr>
                        <w:b/>
                        <w:color w:val="0070C0"/>
                        <w:sz w:val="28"/>
                        <w:szCs w:val="28"/>
                        <w:lang w:val="en-US" w:eastAsia="ja-JP"/>
                      </w:rPr>
                      <w:t>Fellow (</w:t>
                    </w:r>
                    <w:r w:rsidR="00DB274B">
                      <w:rPr>
                        <w:b/>
                        <w:color w:val="0070C0"/>
                        <w:sz w:val="28"/>
                        <w:szCs w:val="28"/>
                        <w:lang w:val="en-US" w:eastAsia="ja-JP"/>
                      </w:rPr>
                      <w:t>S</w:t>
                    </w:r>
                    <w:r w:rsidR="005237C1" w:rsidRPr="005237C1">
                      <w:rPr>
                        <w:b/>
                        <w:color w:val="0070C0"/>
                        <w:sz w:val="28"/>
                        <w:szCs w:val="28"/>
                        <w:lang w:val="en-US" w:eastAsia="ja-JP"/>
                      </w:rPr>
                      <w:t xml:space="preserve">FHEA, </w:t>
                    </w:r>
                    <w:r w:rsidR="00AC2BCA" w:rsidRPr="005237C1">
                      <w:rPr>
                        <w:b/>
                        <w:color w:val="0070C0"/>
                        <w:sz w:val="28"/>
                        <w:szCs w:val="28"/>
                        <w:lang w:val="en-US" w:eastAsia="ja-JP"/>
                      </w:rPr>
                      <w:t>D</w:t>
                    </w:r>
                    <w:r w:rsidR="00DB274B">
                      <w:rPr>
                        <w:b/>
                        <w:color w:val="0070C0"/>
                        <w:sz w:val="28"/>
                        <w:szCs w:val="28"/>
                        <w:lang w:val="en-US" w:eastAsia="ja-JP"/>
                      </w:rPr>
                      <w:t>3</w:t>
                    </w:r>
                    <w:r w:rsidR="00AC2BCA" w:rsidRPr="005237C1">
                      <w:rPr>
                        <w:b/>
                        <w:color w:val="0070C0"/>
                        <w:sz w:val="28"/>
                        <w:szCs w:val="28"/>
                        <w:lang w:val="en-US" w:eastAsia="ja-JP"/>
                      </w:rPr>
                      <w:t>)</w:t>
                    </w:r>
                  </w:p>
                  <w:p w14:paraId="3EF7D1A5" w14:textId="77777777" w:rsidR="00C31F34" w:rsidRDefault="00C31F34" w:rsidP="00C31F34"/>
                </w:txbxContent>
              </v:textbox>
              <w10:wrap type="square" anchorx="margin"/>
            </v:shape>
          </w:pict>
        </mc:Fallback>
      </mc:AlternateContent>
    </w:r>
    <w:r>
      <w:rPr>
        <w:noProof/>
        <w:lang w:eastAsia="en-GB"/>
      </w:rPr>
      <w:drawing>
        <wp:anchor distT="0" distB="0" distL="114300" distR="114300" simplePos="0" relativeHeight="251660288" behindDoc="0" locked="0" layoutInCell="1" allowOverlap="1" wp14:anchorId="059258B0" wp14:editId="746E03E1">
          <wp:simplePos x="0" y="0"/>
          <wp:positionH relativeFrom="margin">
            <wp:align>right</wp:align>
          </wp:positionH>
          <wp:positionV relativeFrom="paragraph">
            <wp:posOffset>-132080</wp:posOffset>
          </wp:positionV>
          <wp:extent cx="2188845" cy="5975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97535"/>
                  </a:xfrm>
                  <a:prstGeom prst="rect">
                    <a:avLst/>
                  </a:prstGeom>
                  <a:noFill/>
                </pic:spPr>
              </pic:pic>
            </a:graphicData>
          </a:graphic>
          <wp14:sizeRelH relativeFrom="page">
            <wp14:pctWidth>0</wp14:pctWidth>
          </wp14:sizeRelH>
          <wp14:sizeRelV relativeFrom="page">
            <wp14:pctHeight>0</wp14:pctHeight>
          </wp14:sizeRelV>
        </wp:anchor>
      </w:drawing>
    </w:r>
  </w:p>
  <w:p w14:paraId="25FF8910" w14:textId="77777777" w:rsidR="00C31F34" w:rsidRDefault="00C3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221"/>
    <w:multiLevelType w:val="hybridMultilevel"/>
    <w:tmpl w:val="2FD20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F0C61"/>
    <w:multiLevelType w:val="hybridMultilevel"/>
    <w:tmpl w:val="7FC88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34"/>
    <w:rsid w:val="000428A7"/>
    <w:rsid w:val="0006530E"/>
    <w:rsid w:val="000D54B3"/>
    <w:rsid w:val="001C02B5"/>
    <w:rsid w:val="001C2A44"/>
    <w:rsid w:val="001F5B0F"/>
    <w:rsid w:val="00264AB6"/>
    <w:rsid w:val="00314F2B"/>
    <w:rsid w:val="00361771"/>
    <w:rsid w:val="00365F10"/>
    <w:rsid w:val="003E1700"/>
    <w:rsid w:val="00474616"/>
    <w:rsid w:val="00485C1B"/>
    <w:rsid w:val="004D7652"/>
    <w:rsid w:val="005219D8"/>
    <w:rsid w:val="005237C1"/>
    <w:rsid w:val="0057606E"/>
    <w:rsid w:val="00590162"/>
    <w:rsid w:val="00654F2A"/>
    <w:rsid w:val="00760FB7"/>
    <w:rsid w:val="00795B4C"/>
    <w:rsid w:val="008A0DF5"/>
    <w:rsid w:val="00923AE6"/>
    <w:rsid w:val="009E6E06"/>
    <w:rsid w:val="009F7033"/>
    <w:rsid w:val="00A00160"/>
    <w:rsid w:val="00A14DC9"/>
    <w:rsid w:val="00AC2BCA"/>
    <w:rsid w:val="00B823F4"/>
    <w:rsid w:val="00C31F34"/>
    <w:rsid w:val="00C51B7F"/>
    <w:rsid w:val="00C86786"/>
    <w:rsid w:val="00CB1331"/>
    <w:rsid w:val="00CF7A46"/>
    <w:rsid w:val="00D10088"/>
    <w:rsid w:val="00D47EC1"/>
    <w:rsid w:val="00D66EA5"/>
    <w:rsid w:val="00DB274B"/>
    <w:rsid w:val="00DD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16BD44"/>
  <w15:chartTrackingRefBased/>
  <w15:docId w15:val="{138B4DA0-64F8-4ADE-9342-7E7DB47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16"/>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34"/>
    <w:pPr>
      <w:tabs>
        <w:tab w:val="center" w:pos="4513"/>
        <w:tab w:val="right" w:pos="9026"/>
      </w:tabs>
    </w:pPr>
  </w:style>
  <w:style w:type="character" w:customStyle="1" w:styleId="HeaderChar">
    <w:name w:val="Header Char"/>
    <w:basedOn w:val="DefaultParagraphFont"/>
    <w:link w:val="Header"/>
    <w:uiPriority w:val="99"/>
    <w:rsid w:val="00C31F34"/>
    <w:rPr>
      <w:rFonts w:ascii="Calibri" w:hAnsi="Calibri" w:cs="Times New Roman"/>
      <w:szCs w:val="24"/>
    </w:rPr>
  </w:style>
  <w:style w:type="paragraph" w:styleId="Footer">
    <w:name w:val="footer"/>
    <w:basedOn w:val="Normal"/>
    <w:link w:val="FooterChar"/>
    <w:uiPriority w:val="99"/>
    <w:unhideWhenUsed/>
    <w:rsid w:val="00C31F34"/>
    <w:pPr>
      <w:tabs>
        <w:tab w:val="center" w:pos="4513"/>
        <w:tab w:val="right" w:pos="9026"/>
      </w:tabs>
    </w:pPr>
  </w:style>
  <w:style w:type="character" w:customStyle="1" w:styleId="FooterChar">
    <w:name w:val="Footer Char"/>
    <w:basedOn w:val="DefaultParagraphFont"/>
    <w:link w:val="Footer"/>
    <w:uiPriority w:val="99"/>
    <w:rsid w:val="00C31F34"/>
    <w:rPr>
      <w:rFonts w:ascii="Calibri" w:hAnsi="Calibri" w:cs="Times New Roman"/>
      <w:szCs w:val="24"/>
    </w:rPr>
  </w:style>
  <w:style w:type="paragraph" w:styleId="Title">
    <w:name w:val="Title"/>
    <w:basedOn w:val="Normal"/>
    <w:next w:val="Normal"/>
    <w:link w:val="TitleChar"/>
    <w:uiPriority w:val="10"/>
    <w:qFormat/>
    <w:rsid w:val="00C31F34"/>
    <w:pPr>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C31F34"/>
    <w:rPr>
      <w:rFonts w:asciiTheme="majorHAnsi" w:eastAsiaTheme="majorEastAsia" w:hAnsiTheme="majorHAnsi" w:cstheme="majorBidi"/>
      <w:color w:val="000000" w:themeColor="text1"/>
      <w:sz w:val="56"/>
      <w:szCs w:val="56"/>
      <w:lang w:val="en-US" w:eastAsia="ja-JP"/>
    </w:rPr>
  </w:style>
  <w:style w:type="paragraph" w:styleId="ListParagraph">
    <w:name w:val="List Paragraph"/>
    <w:basedOn w:val="Normal"/>
    <w:uiPriority w:val="34"/>
    <w:qFormat/>
    <w:rsid w:val="00AC2BCA"/>
    <w:pPr>
      <w:ind w:left="720"/>
      <w:contextualSpacing/>
    </w:pPr>
  </w:style>
  <w:style w:type="table" w:customStyle="1" w:styleId="TableGrid1">
    <w:name w:val="Table Grid1"/>
    <w:basedOn w:val="TableNormal"/>
    <w:next w:val="TableGrid"/>
    <w:uiPriority w:val="59"/>
    <w:rsid w:val="00AC2B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7E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3A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19D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f@bc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f@bc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Anderson</dc:creator>
  <cp:keywords/>
  <dc:description/>
  <cp:lastModifiedBy>Carole Anderson</cp:lastModifiedBy>
  <cp:revision>15</cp:revision>
  <dcterms:created xsi:type="dcterms:W3CDTF">2019-01-02T13:26:00Z</dcterms:created>
  <dcterms:modified xsi:type="dcterms:W3CDTF">2019-11-22T14:41:00Z</dcterms:modified>
</cp:coreProperties>
</file>